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1205" w14:textId="7B748100" w:rsidR="00230AB6" w:rsidRPr="006138E9" w:rsidRDefault="00230AB6" w:rsidP="006138E9">
      <w:pPr>
        <w:spacing w:before="600"/>
        <w:jc w:val="center"/>
        <w:rPr>
          <w:rFonts w:asciiTheme="majorHAnsi" w:hAnsiTheme="majorHAnsi" w:cstheme="majorHAnsi"/>
          <w:b/>
          <w:bCs/>
          <w:sz w:val="36"/>
          <w:szCs w:val="36"/>
          <w:lang w:val="hu-HU"/>
        </w:rPr>
      </w:pPr>
      <w:r w:rsidRPr="006138E9">
        <w:rPr>
          <w:rFonts w:asciiTheme="majorHAnsi" w:hAnsiTheme="majorHAnsi" w:cstheme="majorHAnsi"/>
          <w:b/>
          <w:bCs/>
          <w:sz w:val="36"/>
          <w:szCs w:val="36"/>
          <w:lang w:val="hu-HU"/>
        </w:rPr>
        <w:t>HULLADÉKGAZDÁLKODÁSI KÖZSZOLGÁLTATÁSI RÉSZTEVÉKENYSÉG KERETÉBEN VÉGZETT SZOLGÁLTATÁS NYÚJTÁSA</w:t>
      </w:r>
    </w:p>
    <w:p w14:paraId="57452162" w14:textId="4D74F98E" w:rsidR="00230AB6" w:rsidRPr="006138E9" w:rsidRDefault="00230AB6" w:rsidP="006138E9">
      <w:pPr>
        <w:spacing w:before="720" w:after="480"/>
        <w:jc w:val="center"/>
        <w:rPr>
          <w:rFonts w:asciiTheme="majorHAnsi" w:hAnsiTheme="majorHAnsi" w:cstheme="majorHAnsi"/>
          <w:b/>
          <w:bCs/>
          <w:sz w:val="36"/>
          <w:szCs w:val="36"/>
          <w:lang w:val="hu-HU"/>
        </w:rPr>
      </w:pPr>
      <w:r w:rsidRPr="006138E9">
        <w:rPr>
          <w:rFonts w:asciiTheme="majorHAnsi" w:hAnsiTheme="majorHAnsi" w:cstheme="majorHAnsi"/>
          <w:b/>
          <w:bCs/>
          <w:sz w:val="36"/>
          <w:szCs w:val="36"/>
          <w:lang w:val="hu-HU"/>
        </w:rPr>
        <w:t>TERÜLETI ÁLTALÁNOS SZERZŐDÉSI FELTÉTELEK</w:t>
      </w:r>
    </w:p>
    <w:p w14:paraId="1B9698E6" w14:textId="26310EC5" w:rsidR="00230AB6" w:rsidRPr="00A922AE" w:rsidRDefault="006138E9" w:rsidP="00985526">
      <w:pPr>
        <w:jc w:val="center"/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5AA852C5" wp14:editId="2F79CC67">
            <wp:extent cx="3162300" cy="2231905"/>
            <wp:effectExtent l="0" t="0" r="0" b="0"/>
            <wp:docPr id="163634163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00" cy="225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E1826" w14:textId="77777777" w:rsidR="00985526" w:rsidRDefault="00985526" w:rsidP="00985526">
      <w:pPr>
        <w:jc w:val="both"/>
        <w:rPr>
          <w:lang w:val="hu-HU"/>
        </w:rPr>
      </w:pPr>
    </w:p>
    <w:p w14:paraId="27DA1E09" w14:textId="1BB3B39C" w:rsidR="00985526" w:rsidRPr="00985526" w:rsidRDefault="00985526" w:rsidP="00985526">
      <w:pPr>
        <w:jc w:val="both"/>
        <w:rPr>
          <w:lang w:val="hu-HU"/>
        </w:rPr>
      </w:pPr>
      <w:r w:rsidRPr="00985526">
        <w:rPr>
          <w:lang w:val="hu-HU"/>
        </w:rPr>
        <w:t>Régiókoordinátori Közreműködő adatai:</w:t>
      </w:r>
    </w:p>
    <w:p w14:paraId="75BF185B" w14:textId="77777777" w:rsidR="00985526" w:rsidRPr="00985526" w:rsidRDefault="00985526" w:rsidP="00985526">
      <w:pPr>
        <w:jc w:val="both"/>
        <w:rPr>
          <w:lang w:val="hu-HU"/>
        </w:rPr>
      </w:pPr>
      <w:r w:rsidRPr="00985526">
        <w:rPr>
          <w:lang w:val="hu-HU"/>
        </w:rPr>
        <w:t>Név: Szelektív Hulladékhasznosító és Környezetvédelmi Nonprofit Kft.</w:t>
      </w:r>
    </w:p>
    <w:p w14:paraId="3F165A23" w14:textId="77777777" w:rsidR="00985526" w:rsidRPr="00985526" w:rsidRDefault="00985526" w:rsidP="00985526">
      <w:pPr>
        <w:jc w:val="both"/>
        <w:rPr>
          <w:lang w:val="hu-HU"/>
        </w:rPr>
      </w:pPr>
      <w:r w:rsidRPr="00985526">
        <w:rPr>
          <w:lang w:val="hu-HU"/>
        </w:rPr>
        <w:t>Cégjegyzékszám: 10-09-036776 Adószám: 11884226-2-10</w:t>
      </w:r>
    </w:p>
    <w:p w14:paraId="578CCCF3" w14:textId="77777777" w:rsidR="00985526" w:rsidRPr="00985526" w:rsidRDefault="00985526" w:rsidP="00985526">
      <w:pPr>
        <w:jc w:val="both"/>
        <w:rPr>
          <w:lang w:val="hu-HU"/>
        </w:rPr>
      </w:pPr>
      <w:r w:rsidRPr="00985526">
        <w:rPr>
          <w:lang w:val="hu-HU"/>
        </w:rPr>
        <w:t>Székhely: 3000, Hatvan, 054/14. Hrsz.</w:t>
      </w:r>
    </w:p>
    <w:p w14:paraId="10F1A267" w14:textId="4F9F771E" w:rsidR="00985526" w:rsidRDefault="00985526" w:rsidP="00985526">
      <w:pPr>
        <w:jc w:val="both"/>
        <w:rPr>
          <w:lang w:val="hu-HU"/>
        </w:rPr>
      </w:pPr>
      <w:r w:rsidRPr="00985526">
        <w:rPr>
          <w:lang w:val="hu-HU"/>
        </w:rPr>
        <w:t>Honlap: https://szelektivkft.hu/</w:t>
      </w:r>
    </w:p>
    <w:p w14:paraId="612CEFA1" w14:textId="77777777" w:rsidR="00985526" w:rsidRDefault="00985526" w:rsidP="00EE2B30">
      <w:pPr>
        <w:jc w:val="both"/>
        <w:rPr>
          <w:lang w:val="hu-HU"/>
        </w:rPr>
      </w:pPr>
    </w:p>
    <w:p w14:paraId="7B7D208B" w14:textId="157FC172" w:rsidR="00230AB6" w:rsidRPr="00A922AE" w:rsidRDefault="00230AB6" w:rsidP="00EE2B30">
      <w:pPr>
        <w:jc w:val="both"/>
        <w:rPr>
          <w:lang w:val="hu-HU"/>
        </w:rPr>
      </w:pPr>
      <w:proofErr w:type="spellStart"/>
      <w:r w:rsidRPr="00A922AE">
        <w:rPr>
          <w:lang w:val="hu-HU"/>
        </w:rPr>
        <w:t>Koncesszori</w:t>
      </w:r>
      <w:proofErr w:type="spellEnd"/>
      <w:r w:rsidRPr="00A922AE">
        <w:rPr>
          <w:lang w:val="hu-HU"/>
        </w:rPr>
        <w:t xml:space="preserve"> alvállalkozó adatai:</w:t>
      </w:r>
    </w:p>
    <w:p w14:paraId="2B7456FD" w14:textId="19184321" w:rsidR="00230AB6" w:rsidRPr="00A922AE" w:rsidRDefault="00230AB6" w:rsidP="00EE2B30">
      <w:pPr>
        <w:tabs>
          <w:tab w:val="left" w:pos="2268"/>
        </w:tabs>
        <w:jc w:val="both"/>
        <w:rPr>
          <w:lang w:val="hu-HU"/>
        </w:rPr>
      </w:pPr>
      <w:r w:rsidRPr="00A922AE">
        <w:rPr>
          <w:lang w:val="hu-HU"/>
        </w:rPr>
        <w:t>Név:</w:t>
      </w:r>
      <w:r w:rsidRPr="00A922AE">
        <w:rPr>
          <w:lang w:val="hu-HU"/>
        </w:rPr>
        <w:tab/>
        <w:t>PEVIK Közüzemi és Szolgáltató Nonprofit Kft.</w:t>
      </w:r>
    </w:p>
    <w:p w14:paraId="52D3F9FE" w14:textId="15A6EE38" w:rsidR="00230AB6" w:rsidRPr="00A922AE" w:rsidRDefault="00230AB6" w:rsidP="00EE2B30">
      <w:pPr>
        <w:tabs>
          <w:tab w:val="left" w:pos="2268"/>
        </w:tabs>
        <w:jc w:val="both"/>
        <w:rPr>
          <w:lang w:val="hu-HU"/>
        </w:rPr>
      </w:pPr>
      <w:r w:rsidRPr="00A922AE">
        <w:rPr>
          <w:lang w:val="hu-HU"/>
        </w:rPr>
        <w:t>Cégjegyzékszám:</w:t>
      </w:r>
      <w:r w:rsidRPr="00A922AE">
        <w:rPr>
          <w:lang w:val="hu-HU"/>
        </w:rPr>
        <w:tab/>
        <w:t>10-09-022367</w:t>
      </w:r>
    </w:p>
    <w:p w14:paraId="400D94B7" w14:textId="311E0E89" w:rsidR="00230AB6" w:rsidRPr="00A922AE" w:rsidRDefault="00230AB6" w:rsidP="00EE2B30">
      <w:pPr>
        <w:tabs>
          <w:tab w:val="left" w:pos="2268"/>
        </w:tabs>
        <w:jc w:val="both"/>
        <w:rPr>
          <w:lang w:val="hu-HU"/>
        </w:rPr>
      </w:pPr>
      <w:r w:rsidRPr="00A922AE">
        <w:rPr>
          <w:lang w:val="hu-HU"/>
        </w:rPr>
        <w:t>Adószám:</w:t>
      </w:r>
      <w:r w:rsidRPr="00A922AE">
        <w:rPr>
          <w:lang w:val="hu-HU"/>
        </w:rPr>
        <w:tab/>
        <w:t>11172594-2-10</w:t>
      </w:r>
    </w:p>
    <w:p w14:paraId="69207716" w14:textId="2D11E6A3" w:rsidR="00230AB6" w:rsidRPr="00A922AE" w:rsidRDefault="00230AB6" w:rsidP="00EE2B30">
      <w:pPr>
        <w:tabs>
          <w:tab w:val="left" w:pos="2268"/>
        </w:tabs>
        <w:jc w:val="both"/>
        <w:rPr>
          <w:lang w:val="hu-HU"/>
        </w:rPr>
      </w:pPr>
      <w:r w:rsidRPr="00A922AE">
        <w:rPr>
          <w:lang w:val="hu-HU"/>
        </w:rPr>
        <w:t>Székhely:</w:t>
      </w:r>
      <w:r w:rsidRPr="00A922AE">
        <w:rPr>
          <w:lang w:val="hu-HU"/>
        </w:rPr>
        <w:tab/>
        <w:t>3250 Pétervására, Tisztisor utca 29.</w:t>
      </w:r>
    </w:p>
    <w:p w14:paraId="2C9182E5" w14:textId="50744ABC" w:rsidR="00230AB6" w:rsidRPr="00A922AE" w:rsidRDefault="00230AB6" w:rsidP="00EE2B30">
      <w:pPr>
        <w:tabs>
          <w:tab w:val="left" w:pos="2268"/>
        </w:tabs>
        <w:jc w:val="both"/>
        <w:rPr>
          <w:lang w:val="hu-HU"/>
        </w:rPr>
      </w:pPr>
      <w:r w:rsidRPr="00A922AE">
        <w:rPr>
          <w:lang w:val="hu-HU"/>
        </w:rPr>
        <w:t>Honlap:</w:t>
      </w:r>
      <w:r w:rsidRPr="00A922AE">
        <w:rPr>
          <w:lang w:val="hu-HU"/>
        </w:rPr>
        <w:tab/>
      </w:r>
      <w:r w:rsidRPr="008C472E">
        <w:rPr>
          <w:lang w:val="hu-HU"/>
        </w:rPr>
        <w:t>www.pevik.hu</w:t>
      </w:r>
    </w:p>
    <w:p w14:paraId="432645C4" w14:textId="25AF4D2E" w:rsidR="00230AB6" w:rsidRPr="00A922AE" w:rsidRDefault="00230AB6" w:rsidP="00EE2B30">
      <w:pPr>
        <w:tabs>
          <w:tab w:val="left" w:pos="2268"/>
        </w:tabs>
        <w:jc w:val="both"/>
        <w:rPr>
          <w:lang w:val="hu-HU"/>
        </w:rPr>
      </w:pPr>
      <w:r w:rsidRPr="00A922AE">
        <w:rPr>
          <w:lang w:val="hu-HU"/>
        </w:rPr>
        <w:t>Hatálybalépés időpontja: 2023.07.01.</w:t>
      </w:r>
    </w:p>
    <w:p w14:paraId="5130AD82" w14:textId="77777777" w:rsidR="00230AB6" w:rsidRPr="00A922AE" w:rsidRDefault="00230AB6" w:rsidP="00EE2B30">
      <w:pPr>
        <w:jc w:val="both"/>
        <w:rPr>
          <w:lang w:val="hu-HU"/>
        </w:rPr>
      </w:pPr>
      <w:r w:rsidRPr="00A922AE">
        <w:rPr>
          <w:lang w:val="hu-H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 w:eastAsia="en-US"/>
        </w:rPr>
        <w:id w:val="-38926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E10558" w14:textId="7A18E5D9" w:rsidR="008C472E" w:rsidRDefault="008C472E">
          <w:pPr>
            <w:pStyle w:val="Tartalomjegyzkcmsora"/>
          </w:pPr>
          <w:r>
            <w:t>Tartalom</w:t>
          </w:r>
        </w:p>
        <w:p w14:paraId="674AC115" w14:textId="73779B19" w:rsidR="00336A8E" w:rsidRDefault="008C472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525280" w:history="1">
            <w:r w:rsidR="00336A8E" w:rsidRPr="00037B24">
              <w:rPr>
                <w:rStyle w:val="Hiperhivatkozs"/>
                <w:noProof/>
                <w:lang w:val="hu-HU"/>
              </w:rPr>
              <w:t>1.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Általános rész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_Toc143525280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2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39DE21DD" w14:textId="3EDAFBE2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1" w:history="1">
            <w:r w:rsidR="00336A8E" w:rsidRPr="00037B24">
              <w:rPr>
                <w:rStyle w:val="Hiperhivatkozs"/>
                <w:noProof/>
                <w:lang w:val="hu-HU"/>
              </w:rPr>
              <w:t>1.1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Értelmező rendelkezések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_Toc143525281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2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19C5EFF5" w14:textId="3122A590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2" w:history="1">
            <w:r w:rsidR="00336A8E" w:rsidRPr="00037B24">
              <w:rPr>
                <w:rStyle w:val="Hiperhivatkozs"/>
                <w:noProof/>
                <w:lang w:val="hu-HU"/>
              </w:rPr>
              <w:t>1.2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Területi ÁSZF célja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_Toc143525282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4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59934738" w14:textId="4647F2C9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3" w:history="1">
            <w:r w:rsidR="00336A8E" w:rsidRPr="00037B24">
              <w:rPr>
                <w:rStyle w:val="Hiperhivatkozs"/>
                <w:noProof/>
                <w:lang w:val="hu-HU"/>
              </w:rPr>
              <w:t>1.3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Területi ÁSZF tárgya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_Toc143525283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4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0220188C" w14:textId="78FF0509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4" w:history="1">
            <w:r w:rsidR="00336A8E" w:rsidRPr="00037B24">
              <w:rPr>
                <w:rStyle w:val="Hiperhivatkozs"/>
                <w:noProof/>
                <w:lang w:val="hu-HU"/>
              </w:rPr>
              <w:t>1.4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Területi ÁSZF hatálya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_Toc143525284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4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245A673C" w14:textId="31C95104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5" w:history="1">
            <w:r w:rsidR="00336A8E" w:rsidRPr="00037B24">
              <w:rPr>
                <w:rStyle w:val="Hiperhivatkozs"/>
                <w:noProof/>
                <w:lang w:val="hu-HU"/>
              </w:rPr>
              <w:t>1.5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Területi ÁSZF közzététele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_Toc143525285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5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3B37415D" w14:textId="36382069" w:rsidR="00336A8E" w:rsidRDefault="00793FB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6" w:history="1">
            <w:r w:rsidR="00336A8E" w:rsidRPr="00037B24">
              <w:rPr>
                <w:rStyle w:val="Hiperhivatkozs"/>
                <w:noProof/>
                <w:lang w:val="hu-HU"/>
              </w:rPr>
              <w:t>2.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hulladékgazdálkodási közszolgáltatás körébe tartozó hulladékok gyűjtésének szabályai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_Toc143525286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5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51D37216" w14:textId="35D5EEF7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7" w:history="1">
            <w:r w:rsidR="00336A8E" w:rsidRPr="00037B24">
              <w:rPr>
                <w:rStyle w:val="Hiperhivatkozs"/>
                <w:noProof/>
                <w:lang w:val="hu-HU"/>
              </w:rPr>
              <w:t>2.1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Általános szabályok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_Toc143525287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5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37CCA603" w14:textId="2F655FC6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8" w:history="1">
            <w:r w:rsidR="00336A8E" w:rsidRPr="00037B24">
              <w:rPr>
                <w:rStyle w:val="Hiperhivatkozs"/>
                <w:noProof/>
                <w:lang w:val="hu-HU"/>
              </w:rPr>
              <w:t>2.2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települési vegyes hulladék gyűjtése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_Toc143525288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5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410989C5" w14:textId="71455AC6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89" w:history="1">
            <w:r w:rsidR="00336A8E" w:rsidRPr="00037B24">
              <w:rPr>
                <w:rStyle w:val="Hiperhivatkozs"/>
                <w:noProof/>
                <w:lang w:val="hu-HU"/>
              </w:rPr>
              <w:t>2.3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csomagolási hulladék gyűjtése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_Toc143525289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6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25F72BC0" w14:textId="360F4590" w:rsidR="00336A8E" w:rsidRDefault="00793FBA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0" w:history="1">
            <w:r w:rsidR="00336A8E" w:rsidRPr="00037B24">
              <w:rPr>
                <w:rStyle w:val="Hiperhivatkozs"/>
                <w:noProof/>
                <w:lang w:val="hu-HU"/>
              </w:rPr>
              <w:t>2.3.1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Papír, műanyag és fém csomagolási hulladék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_Toc143525290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6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16562EC8" w14:textId="568A4717" w:rsidR="00336A8E" w:rsidRDefault="00793FBA">
          <w:pPr>
            <w:pStyle w:val="TJ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1" w:history="1">
            <w:r w:rsidR="00336A8E" w:rsidRPr="00037B24">
              <w:rPr>
                <w:rStyle w:val="Hiperhivatkozs"/>
                <w:noProof/>
                <w:lang w:val="hu-HU"/>
              </w:rPr>
              <w:t>2.3.2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Üveg csomagolási hulladék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_Toc143525291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6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034D73D2" w14:textId="0A6B0C7D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2" w:history="1">
            <w:r w:rsidR="00336A8E" w:rsidRPr="00037B24">
              <w:rPr>
                <w:rStyle w:val="Hiperhivatkozs"/>
                <w:noProof/>
                <w:lang w:val="hu-HU"/>
              </w:rPr>
              <w:t>2.4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lomhulladék gyűjtése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_Toc143525292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7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4D60E581" w14:textId="283C9FC8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3" w:history="1">
            <w:r w:rsidR="00336A8E" w:rsidRPr="00037B24">
              <w:rPr>
                <w:rStyle w:val="Hiperhivatkozs"/>
                <w:noProof/>
                <w:lang w:val="hu-HU"/>
              </w:rPr>
              <w:t>2.5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zöldhulladék gyűjtése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_Toc143525293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7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195151C5" w14:textId="56B6B9E6" w:rsidR="00336A8E" w:rsidRDefault="00793FB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4" w:history="1">
            <w:r w:rsidR="00336A8E" w:rsidRPr="00037B24">
              <w:rPr>
                <w:rStyle w:val="Hiperhivatkozs"/>
                <w:noProof/>
                <w:lang w:val="hu-HU"/>
              </w:rPr>
              <w:t>3.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Egyes ingatlanhasználókra vonatkozó speciális szabályok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_Toc143525294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8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5FBABD1E" w14:textId="2D387CB4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5" w:history="1">
            <w:r w:rsidR="00336A8E" w:rsidRPr="00037B24">
              <w:rPr>
                <w:rStyle w:val="Hiperhivatkozs"/>
                <w:noProof/>
                <w:lang w:val="hu-HU"/>
              </w:rPr>
              <w:t>3.1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Az üdülőingatlanokra vonatkozó speciális szabályok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_Toc143525295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8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19F61DD7" w14:textId="49622BB9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6" w:history="1">
            <w:r w:rsidR="00336A8E" w:rsidRPr="00037B24">
              <w:rPr>
                <w:rStyle w:val="Hiperhivatkozs"/>
                <w:noProof/>
                <w:lang w:val="hu-HU"/>
              </w:rPr>
              <w:t>3.2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A társasházakra vonatkozó speciális szabályok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_Toc143525296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8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11E370D7" w14:textId="466E1BE6" w:rsidR="00336A8E" w:rsidRDefault="00793FB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7" w:history="1">
            <w:r w:rsidR="00336A8E" w:rsidRPr="00037B24">
              <w:rPr>
                <w:rStyle w:val="Hiperhivatkozs"/>
                <w:noProof/>
                <w:lang w:val="hu-HU"/>
              </w:rPr>
              <w:t>4.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Ügyintézés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_Toc143525297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8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5D6C9044" w14:textId="0847062E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8" w:history="1">
            <w:r w:rsidR="00336A8E" w:rsidRPr="00037B24">
              <w:rPr>
                <w:rStyle w:val="Hiperhivatkozs"/>
                <w:noProof/>
                <w:lang w:val="hu-HU"/>
              </w:rPr>
              <w:t>4.1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Ügyfélszolgálat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_Toc143525298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8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28E76855" w14:textId="36D7D886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299" w:history="1">
            <w:r w:rsidR="00336A8E" w:rsidRPr="00037B24">
              <w:rPr>
                <w:rStyle w:val="Hiperhivatkozs"/>
                <w:noProof/>
                <w:lang w:val="hu-HU"/>
              </w:rPr>
              <w:t>4.2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Hulladékgazdálkodási közszolgáltatás igénybevételének szüneteltetése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_Toc143525299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9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509A405F" w14:textId="3E9BCF01" w:rsidR="00336A8E" w:rsidRDefault="00793FB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300" w:history="1">
            <w:r w:rsidR="00336A8E" w:rsidRPr="00037B24">
              <w:rPr>
                <w:rStyle w:val="Hiperhivatkozs"/>
                <w:noProof/>
                <w:lang w:val="hu-HU"/>
              </w:rPr>
              <w:t>4.3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Hulladékgyűjtő edényzet megrongálódása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_Toc143525300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9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48A45EE4" w14:textId="62940554" w:rsidR="00336A8E" w:rsidRDefault="00793FB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kern w:val="2"/>
              <w:lang w:val="hu-HU" w:eastAsia="hu-HU"/>
              <w14:ligatures w14:val="standardContextual"/>
            </w:rPr>
          </w:pPr>
          <w:hyperlink w:anchor="_Toc143525301" w:history="1">
            <w:r w:rsidR="00336A8E" w:rsidRPr="00037B24">
              <w:rPr>
                <w:rStyle w:val="Hiperhivatkozs"/>
                <w:noProof/>
                <w:lang w:val="hu-HU"/>
              </w:rPr>
              <w:t>5.</w:t>
            </w:r>
            <w:r w:rsidR="00336A8E">
              <w:rPr>
                <w:rFonts w:eastAsiaTheme="minorEastAsia"/>
                <w:noProof/>
                <w:kern w:val="2"/>
                <w:lang w:val="hu-HU" w:eastAsia="hu-HU"/>
                <w14:ligatures w14:val="standardContextual"/>
              </w:rPr>
              <w:tab/>
            </w:r>
            <w:r w:rsidR="00336A8E" w:rsidRPr="00037B24">
              <w:rPr>
                <w:rStyle w:val="Hiperhivatkozs"/>
                <w:noProof/>
                <w:lang w:val="hu-HU"/>
              </w:rPr>
              <w:t>Vegyes rendelkezések</w:t>
            </w:r>
            <w:r w:rsidR="00336A8E">
              <w:rPr>
                <w:noProof/>
                <w:webHidden/>
              </w:rPr>
              <w:tab/>
            </w:r>
            <w:r w:rsidR="00336A8E">
              <w:rPr>
                <w:noProof/>
                <w:webHidden/>
              </w:rPr>
              <w:fldChar w:fldCharType="begin"/>
            </w:r>
            <w:r w:rsidR="00336A8E">
              <w:rPr>
                <w:noProof/>
                <w:webHidden/>
              </w:rPr>
              <w:instrText xml:space="preserve"> PAGEREF _Toc143525301 \h </w:instrText>
            </w:r>
            <w:r w:rsidR="00336A8E">
              <w:rPr>
                <w:noProof/>
                <w:webHidden/>
              </w:rPr>
            </w:r>
            <w:r w:rsidR="00336A8E">
              <w:rPr>
                <w:noProof/>
                <w:webHidden/>
              </w:rPr>
              <w:fldChar w:fldCharType="separate"/>
            </w:r>
            <w:r w:rsidR="00336A8E">
              <w:rPr>
                <w:noProof/>
                <w:webHidden/>
              </w:rPr>
              <w:t>10</w:t>
            </w:r>
            <w:r w:rsidR="00336A8E">
              <w:rPr>
                <w:noProof/>
                <w:webHidden/>
              </w:rPr>
              <w:fldChar w:fldCharType="end"/>
            </w:r>
          </w:hyperlink>
        </w:p>
        <w:p w14:paraId="0E9704C5" w14:textId="64D93D9F" w:rsidR="008C472E" w:rsidRDefault="008C472E">
          <w:r>
            <w:rPr>
              <w:b/>
              <w:bCs/>
            </w:rPr>
            <w:fldChar w:fldCharType="end"/>
          </w:r>
        </w:p>
      </w:sdtContent>
    </w:sdt>
    <w:p w14:paraId="34763AD5" w14:textId="34072373" w:rsidR="00230AB6" w:rsidRPr="00A922AE" w:rsidRDefault="00230AB6" w:rsidP="00EE2B30">
      <w:pPr>
        <w:tabs>
          <w:tab w:val="left" w:pos="2268"/>
        </w:tabs>
        <w:jc w:val="both"/>
        <w:rPr>
          <w:lang w:val="hu-HU"/>
        </w:rPr>
        <w:sectPr w:rsidR="00230AB6" w:rsidRPr="00A922AE" w:rsidSect="00BB226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0FAF14" w14:textId="09B8EC60" w:rsidR="00230AB6" w:rsidRPr="00A922AE" w:rsidRDefault="00230AB6" w:rsidP="00EE2B30">
      <w:pPr>
        <w:pStyle w:val="Cmsor1"/>
        <w:numPr>
          <w:ilvl w:val="0"/>
          <w:numId w:val="1"/>
        </w:numPr>
        <w:jc w:val="both"/>
        <w:rPr>
          <w:lang w:val="hu-HU"/>
        </w:rPr>
      </w:pPr>
      <w:bookmarkStart w:id="0" w:name="_Toc143525280"/>
      <w:r w:rsidRPr="00A922AE">
        <w:rPr>
          <w:lang w:val="hu-HU"/>
        </w:rPr>
        <w:lastRenderedPageBreak/>
        <w:t>Általános rész</w:t>
      </w:r>
      <w:bookmarkEnd w:id="0"/>
    </w:p>
    <w:p w14:paraId="1650CE02" w14:textId="1907C233" w:rsidR="00230AB6" w:rsidRPr="00A922AE" w:rsidRDefault="00A922AE" w:rsidP="00EE2B30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1" w:name="_Toc143525281"/>
      <w:r w:rsidRPr="00A922AE">
        <w:rPr>
          <w:lang w:val="hu-HU"/>
        </w:rPr>
        <w:t>Értelmező rendelkezések</w:t>
      </w:r>
      <w:bookmarkEnd w:id="1"/>
    </w:p>
    <w:p w14:paraId="5BBB0F71" w14:textId="4F193D78" w:rsidR="00A922AE" w:rsidRPr="00D61F00" w:rsidRDefault="00A922AE" w:rsidP="00D61F0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ÁSZF: hulladékgazdálkodási közszolgáltatási résztevékenység keretében végzett szolgáltatások nyújtására vonatkozó általános szerződési feltételek;</w:t>
      </w:r>
    </w:p>
    <w:p w14:paraId="75B2697B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Csomagolási hulladék: hulladékká vált csomagolás, csomagolószer, ide nem értve az ipari vagy termelési tevékenység során képződő gyártási vagy maradék hulladékot;</w:t>
      </w:r>
    </w:p>
    <w:p w14:paraId="4D86DED9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Elkülönített gyűjtés: olyan gyűjtés, amelynek során a hulladékáramot a hulladék fajtája és jellege - adott esetben típusa - szerint elkülönítik, lehetővé téve annak egyedi módon történő kezelését;</w:t>
      </w:r>
    </w:p>
    <w:p w14:paraId="349CC08E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Elkülönítetten gyűjtött hulladék: olyan hulladék, amelyet fajta és jelleg - adott esetben típus - szerint a képződés helyén a vegyes hulladéktól, illetve más fajtájú, jellegű vagy típusú hulladéktól elkülönítve gyűjtenek;</w:t>
      </w:r>
    </w:p>
    <w:p w14:paraId="1FC6C5D2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Érdeklődő: olyan Bejelentő, aki eljárási jogosultságát igazolni nem tudja;</w:t>
      </w:r>
    </w:p>
    <w:p w14:paraId="01D08081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Gazdálkodó szervezet: 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</w:t>
      </w:r>
      <w:proofErr w:type="spellStart"/>
      <w:r w:rsidRPr="00A922AE">
        <w:rPr>
          <w:lang w:val="hu-HU"/>
        </w:rPr>
        <w:t>fióktelepe</w:t>
      </w:r>
      <w:proofErr w:type="spellEnd"/>
      <w:r w:rsidRPr="00A922AE">
        <w:rPr>
          <w:lang w:val="hu-HU"/>
        </w:rPr>
        <w:t>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 felsőoktatási intézmény, az egyesület, a köztestület, valamint az alapítvány. Ide nem értve azt a költségvetési szervet, amelyet az államháztartásról szóló törvény szerint közfeladat ellátására hoztak létre;</w:t>
      </w:r>
    </w:p>
    <w:p w14:paraId="1A5E7685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Gyűjtés: a hulladék összegyűjtése hulladékkezelő létesítménybe történő elszállítás céljából; a gyűjtés magában foglalja a hulladék előzetes válogatását és előzetes tárolását is;</w:t>
      </w:r>
    </w:p>
    <w:p w14:paraId="78BD8B29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Gyűjtőedény: MSZ840 szerint szabványos hulladékgyűjtő </w:t>
      </w:r>
      <w:proofErr w:type="spellStart"/>
      <w:r w:rsidRPr="00A922AE">
        <w:rPr>
          <w:lang w:val="hu-HU"/>
        </w:rPr>
        <w:t>edényzet</w:t>
      </w:r>
      <w:proofErr w:type="spellEnd"/>
      <w:r w:rsidRPr="00A922AE">
        <w:rPr>
          <w:lang w:val="hu-HU"/>
        </w:rPr>
        <w:t>, hulladékgyűjtő zsák, valamint az elkülönített hulladékgyűjtés céljából üzemeltetett eszköz, berendezés, amely a Területi Szolgáltató rendszeresített céljárművével gyűjthető;</w:t>
      </w:r>
    </w:p>
    <w:p w14:paraId="5BA03A2F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Házhoz menő: olyan gyűjtési mód, melynek során a Területi Szolgáltató az ingatlanhasználó szolgáltatásba bevont ingatlanától gyűjti be a települési vegyes vagy elkülönítetten gyűjtött hulladékot;</w:t>
      </w:r>
    </w:p>
    <w:p w14:paraId="69322291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Hulladék: bármely anyag vagy tárgy, amelytől birtokosa megválik, megválni szándékozik vagy megválni köteles;</w:t>
      </w:r>
    </w:p>
    <w:p w14:paraId="188059CE" w14:textId="51E0E642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Hulladékgazdálkodási közszolgáltatási résztevékenység keretében végzett szolgáltatás: azon szolgáltatások, melyet a Koncessziós Társaság </w:t>
      </w:r>
      <w:r w:rsidR="00D61F00">
        <w:rPr>
          <w:lang w:val="hu-HU"/>
        </w:rPr>
        <w:t xml:space="preserve">a vonatkozó </w:t>
      </w:r>
      <w:r w:rsidRPr="00A922AE">
        <w:rPr>
          <w:lang w:val="hu-HU"/>
        </w:rPr>
        <w:t>ÁSZF</w:t>
      </w:r>
      <w:r w:rsidR="00D61F00">
        <w:rPr>
          <w:lang w:val="hu-HU"/>
        </w:rPr>
        <w:t>-je,</w:t>
      </w:r>
      <w:r w:rsidRPr="00A922AE">
        <w:rPr>
          <w:lang w:val="hu-HU"/>
        </w:rPr>
        <w:t xml:space="preserve"> valamint a vonatkozó jogszabályok alapján a hulladékgazdálkodási közszolgáltatási résztevékenység keretében köteles biztosítani, az ingatlanhasználó pedig köteles annak igénybevételére. A tevékenység tartalmazza a hulladékgazdálkodási közszolgáltatási résztevékenység körébe tartozó hulladék átvételét, gyűjtését, elszállítását, előkezelését, valamint a hulladékgazdálkodási közszolgáltatási résztevékenység országos szintű megszervezését, mely magában foglalja a hulladékgazdálkodási közszolgáltatási résztevékenységgel érintett hulladékgazdálkodási létesítmény (hulladékudvar, átrakó, előkezelő) üzemeltetését és a kezelt hulladékok hasznosításra illetve ártalmatlanításra történő átadását és a teljes folyamathoz kapcsolódó adminisztratív tevékenységeket (pl.: számlázás, ügyfélszolgálat);</w:t>
      </w:r>
    </w:p>
    <w:p w14:paraId="716C7C25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lastRenderedPageBreak/>
        <w:t xml:space="preserve">Hulladékgazdálkodási közszolgáltatási résztevékenység körébe tartozó hulladék: a </w:t>
      </w:r>
      <w:proofErr w:type="spellStart"/>
      <w:r w:rsidRPr="00A922AE">
        <w:rPr>
          <w:lang w:val="hu-HU"/>
        </w:rPr>
        <w:t>Ht</w:t>
      </w:r>
      <w:proofErr w:type="spellEnd"/>
      <w:r w:rsidRPr="00A922AE">
        <w:rPr>
          <w:lang w:val="hu-HU"/>
        </w:rPr>
        <w:t>. alapján az ingatlanhasználó települési vegyes és elkülönítetten gyűjtött hulladéka, ide nem értve a gazdálkodó szervezet ingatlanhasználó háztartási hulladékhoz hasonló hulladék részét képező elkülönítetten gyűjtött hulladékát;</w:t>
      </w:r>
    </w:p>
    <w:p w14:paraId="7D739FFE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Ingatlanhasználó: a </w:t>
      </w:r>
      <w:proofErr w:type="spellStart"/>
      <w:r w:rsidRPr="00A922AE">
        <w:rPr>
          <w:lang w:val="hu-HU"/>
        </w:rPr>
        <w:t>Ht</w:t>
      </w:r>
      <w:proofErr w:type="spellEnd"/>
      <w:r w:rsidRPr="00A922AE">
        <w:rPr>
          <w:lang w:val="hu-HU"/>
        </w:rPr>
        <w:t>. alapján az ingatlan birtokosa, tulajdonosa, vagyonkezelője, valamint a társasház és a lakásszövetkezet, aki (amely) a hulladékgazdálkodási közszolgáltatási résztevékenység igénybevételére köteles és akinek (amelynek) a hulladékgazdálkodási közszolgáltatási résztevékenységet ellátó Koncessziós Társaság rendelkezésére áll;</w:t>
      </w:r>
    </w:p>
    <w:p w14:paraId="7CB7F1CF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proofErr w:type="spellStart"/>
      <w:r w:rsidRPr="00A922AE">
        <w:rPr>
          <w:lang w:val="hu-HU"/>
        </w:rPr>
        <w:t>Koncesszori</w:t>
      </w:r>
      <w:proofErr w:type="spellEnd"/>
      <w:r w:rsidRPr="00A922AE">
        <w:rPr>
          <w:lang w:val="hu-HU"/>
        </w:rPr>
        <w:t xml:space="preserve"> Alvállalkozó: azon gazdálkodó szervezet, mely a </w:t>
      </w:r>
      <w:proofErr w:type="spellStart"/>
      <w:r w:rsidRPr="00A922AE">
        <w:rPr>
          <w:lang w:val="hu-HU"/>
        </w:rPr>
        <w:t>Ht</w:t>
      </w:r>
      <w:proofErr w:type="spellEnd"/>
      <w:r w:rsidRPr="00A922AE">
        <w:rPr>
          <w:lang w:val="hu-HU"/>
        </w:rPr>
        <w:t xml:space="preserve">. 2. § (1) </w:t>
      </w:r>
      <w:proofErr w:type="spellStart"/>
      <w:r w:rsidRPr="00A922AE">
        <w:rPr>
          <w:lang w:val="hu-HU"/>
        </w:rPr>
        <w:t>bek</w:t>
      </w:r>
      <w:proofErr w:type="spellEnd"/>
      <w:r w:rsidRPr="00A922AE">
        <w:rPr>
          <w:lang w:val="hu-HU"/>
        </w:rPr>
        <w:t xml:space="preserve">. 36.g pontja értelmében közvetlenül vagy közvetetten az állami hulladékgazdálkodási közfeladat ellátásában történő közreműködés tárgyában kötött hatályos szerződéssel rendelkeznek, és szerepelnek a </w:t>
      </w:r>
      <w:proofErr w:type="spellStart"/>
      <w:r w:rsidRPr="00A922AE">
        <w:rPr>
          <w:lang w:val="hu-HU"/>
        </w:rPr>
        <w:t>Koncesszori</w:t>
      </w:r>
      <w:proofErr w:type="spellEnd"/>
      <w:r w:rsidRPr="00A922AE">
        <w:rPr>
          <w:lang w:val="hu-HU"/>
        </w:rPr>
        <w:t xml:space="preserve"> Alvállalkozói nyilvántartásban;</w:t>
      </w:r>
    </w:p>
    <w:p w14:paraId="799F86B2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Koncessziós Társaság: a </w:t>
      </w:r>
      <w:proofErr w:type="spellStart"/>
      <w:r w:rsidRPr="00A922AE">
        <w:rPr>
          <w:lang w:val="hu-HU"/>
        </w:rPr>
        <w:t>Konctv</w:t>
      </w:r>
      <w:proofErr w:type="spellEnd"/>
      <w:r w:rsidRPr="00A922AE">
        <w:rPr>
          <w:lang w:val="hu-HU"/>
        </w:rPr>
        <w:t xml:space="preserve">. 20. § (1) bekezdésében meghatározott, a </w:t>
      </w:r>
      <w:proofErr w:type="spellStart"/>
      <w:r w:rsidRPr="00A922AE">
        <w:rPr>
          <w:lang w:val="hu-HU"/>
        </w:rPr>
        <w:t>Koncesszor</w:t>
      </w:r>
      <w:proofErr w:type="spellEnd"/>
      <w:r w:rsidRPr="00A922AE">
        <w:rPr>
          <w:lang w:val="hu-HU"/>
        </w:rPr>
        <w:t xml:space="preserve"> által, annak részvételével alapított gazdasági társaság, mely a MOHU MOL Hulladékgazdálkodási Zrt. néven került megalapításra;</w:t>
      </w:r>
    </w:p>
    <w:p w14:paraId="232C72EA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Koncessziós terület: az ország egész területe, amelyre vonatkozóan a </w:t>
      </w:r>
      <w:proofErr w:type="spellStart"/>
      <w:r w:rsidRPr="00A922AE">
        <w:rPr>
          <w:lang w:val="hu-HU"/>
        </w:rPr>
        <w:t>Koncesszor</w:t>
      </w:r>
      <w:proofErr w:type="spellEnd"/>
      <w:r w:rsidRPr="00A922AE">
        <w:rPr>
          <w:lang w:val="hu-HU"/>
        </w:rPr>
        <w:t xml:space="preserve"> a koncesszió tárgyát képező hulladékgazdálkodási résztevékenységre vonatkozó koncessziós szerződést kötött;</w:t>
      </w:r>
    </w:p>
    <w:p w14:paraId="57753329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Lomhulladék: a </w:t>
      </w:r>
      <w:proofErr w:type="spellStart"/>
      <w:r w:rsidRPr="00A922AE">
        <w:rPr>
          <w:lang w:val="hu-HU"/>
        </w:rPr>
        <w:t>Ht</w:t>
      </w:r>
      <w:proofErr w:type="spellEnd"/>
      <w:r w:rsidRPr="00A922AE">
        <w:rPr>
          <w:lang w:val="hu-HU"/>
        </w:rPr>
        <w:t>. alapján az ingatlanhasználótól a hulladékgazdálkodási közszolgáltatási résztevékenységet ellátó Koncessziós Társaság által a lomtalanítás során átvett olyan háztartási hulladék, amely a hulladékgazdálkodási közszolgáltatási résztevékenység keretében rendszeresített gyűjtőedény méreteit meghaladja;</w:t>
      </w:r>
    </w:p>
    <w:p w14:paraId="1F02D525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Megkeresés: olyan kapcsolatfelvétel, mely nem tartalmaz egyéni jogsérelem, vagy érdeksérelem megszüntetésére irányuló kérést [Pl.: méltányossági kérelem (részletfizetés, fizetési halasztás), adatváltozás/tulajdonosváltás bejelentése, számlamásolat, csekkpótlás igénylése, általános bejelenések a szolgáltatásokról (pl. észrevétel, javaslat, igény jelzése), általános információ vagy tájékoztatás kérése];</w:t>
      </w:r>
    </w:p>
    <w:p w14:paraId="2D0F4725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Panasz: az Ügyfél részéről a hulladékgazdálkodási közszolgáltatási résztevékenység keretében elvégzett szolgáltatásra vagy szolgáltatás elmaradására vonatkozóan tett negatív észrevétel, konkrét kifogás, olyan megkeresés, amely egyéni jogsérelem, vagy érdeksérelem megszüntetésére irányul, és elintézése nem tartozik más – így különösen bírósági, közigazgatási – eljárás hatálya alá;</w:t>
      </w:r>
    </w:p>
    <w:p w14:paraId="7C10A47E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Társasházi közösségi előfizető: olyan nem egyéni előfizető Ügyfél, amelynél egy társasházhoz kapcsolódóan az egyes természetes személy és nem természetes személy lakóingatlant használók a hulladékgazdálkodási közszolgáltatási résztevékenységet közösen, közösségi szolgáltatásként veszik igénybe;</w:t>
      </w:r>
    </w:p>
    <w:p w14:paraId="798CD673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Települési hulladék: a </w:t>
      </w:r>
      <w:proofErr w:type="spellStart"/>
      <w:r w:rsidRPr="00A922AE">
        <w:rPr>
          <w:lang w:val="hu-HU"/>
        </w:rPr>
        <w:t>Ht</w:t>
      </w:r>
      <w:proofErr w:type="spellEnd"/>
      <w:r w:rsidRPr="00A922AE">
        <w:rPr>
          <w:lang w:val="hu-HU"/>
        </w:rPr>
        <w:t>. alapján a háztartási és a háztartási hulladékhoz hasonló hulladék, amely nem foglalja magában a termelésből, a mezőgazdaságból, az erdészetből, a halászatból származó hulladékot, a nem közművel összegyűjtött háztartási szennyvizet, a szennyvízhálózatból és a szennyvízkezelő művekből származó hulladékot, így különösen a szennyvíziszapot, továbbá az elhasználódott járműveket, és az építési-bontási hulladékot;</w:t>
      </w:r>
    </w:p>
    <w:p w14:paraId="497582D3" w14:textId="77777777" w:rsid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Települési hulladék részét képező kötelezően elkülönítetten gyűjtött hulladékok: olyan hulladékok, melyek elkülönített gyűjtése az ingatlanhasználóra vonatkozóan a Területi ÁSZF-ben részletezett feltételekkel kötelező;</w:t>
      </w:r>
    </w:p>
    <w:p w14:paraId="3B106E03" w14:textId="00FC9E85" w:rsidR="001E12F5" w:rsidRPr="00A922AE" w:rsidRDefault="001E12F5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Települési lomtalanítás: a lomhulladék elszállításának azon, helyi önkormányzati hozzájáruláshoz kötött formája, mely során egy település minden ingatlanhasználója a Területi Szolgáltató által előre meghirdetett napon az ingatlana elé kihelyezheti lomhulladékát, melyet Területi Szolgáltató elszállít</w:t>
      </w:r>
    </w:p>
    <w:p w14:paraId="400C1B95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lastRenderedPageBreak/>
        <w:t xml:space="preserve">Területi Szolgáltató: az ingatlanhasználó hulladékának begyűjtését végző területileg illetékes </w:t>
      </w:r>
      <w:proofErr w:type="spellStart"/>
      <w:r w:rsidRPr="00A922AE">
        <w:rPr>
          <w:lang w:val="hu-HU"/>
        </w:rPr>
        <w:t>Koncesszori</w:t>
      </w:r>
      <w:proofErr w:type="spellEnd"/>
      <w:r w:rsidRPr="00A922AE">
        <w:rPr>
          <w:lang w:val="hu-HU"/>
        </w:rPr>
        <w:t xml:space="preserve"> Alvállalkozó;</w:t>
      </w:r>
    </w:p>
    <w:p w14:paraId="70C6F764" w14:textId="43D3352F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Területi ÁSZF: adott Területi Szolgáltató ÁSZF-je és/vagy Üzletszabályzata, mely jelen ÁSZF</w:t>
      </w:r>
      <w:r>
        <w:rPr>
          <w:lang w:val="hu-HU"/>
        </w:rPr>
        <w:t>-</w:t>
      </w:r>
      <w:r w:rsidRPr="00A922AE">
        <w:rPr>
          <w:lang w:val="hu-HU"/>
        </w:rPr>
        <w:t>ben foglaltakon túl, a vonatkozó jogszabályokat alkalmazva, a helyi adottságokat és területi specifikumokat kezelő szolgáltatási szabályokat rögzíti;</w:t>
      </w:r>
    </w:p>
    <w:p w14:paraId="18412846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Ügyfél: a hulladékgazdálkodási közszolgáltatási résztevékenység keretében végzett szolgáltatást igénybe vevő ingatlanhasználó, személy, szervezet, ideértve a lakásszövetkezet, aki vevő (fizető) azonosítóval rendelkezik, abban az esetben is, ha a szolgáltatás kérelmére szünetel;</w:t>
      </w:r>
    </w:p>
    <w:p w14:paraId="59C2CCF9" w14:textId="77777777" w:rsidR="00A922AE" w:rsidRP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 xml:space="preserve">Vegyes hulladék: a </w:t>
      </w:r>
      <w:proofErr w:type="spellStart"/>
      <w:r w:rsidRPr="00A922AE">
        <w:rPr>
          <w:lang w:val="hu-HU"/>
        </w:rPr>
        <w:t>Ht</w:t>
      </w:r>
      <w:proofErr w:type="spellEnd"/>
      <w:r w:rsidRPr="00A922AE">
        <w:rPr>
          <w:lang w:val="hu-HU"/>
        </w:rPr>
        <w:t>. alapján a háztartási és a háztartási hulladékhoz hasonló hulladéknak az a különböző fajtájú és összetételű hulladékot tartalmazó része, amelyet az elkülönítetten gyűjtött hulladéktól eltérő külön gyűjtőedényben gyűjtenek;</w:t>
      </w:r>
    </w:p>
    <w:p w14:paraId="1FDFCE30" w14:textId="18AC19ED" w:rsidR="00A922AE" w:rsidRDefault="00A922AE" w:rsidP="00EE2B30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 w:rsidRPr="00A922AE">
        <w:rPr>
          <w:lang w:val="hu-HU"/>
        </w:rPr>
        <w:t>Zöldhulladék: kertben, vagy kertészeti tevékenység során képződő növényi eredetű hulladék</w:t>
      </w:r>
    </w:p>
    <w:p w14:paraId="1D6B6860" w14:textId="005F5233" w:rsidR="00A922AE" w:rsidRDefault="00A922AE" w:rsidP="00EE2B30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2" w:name="_Toc143525282"/>
      <w:r>
        <w:rPr>
          <w:lang w:val="hu-HU"/>
        </w:rPr>
        <w:t>A Területi ÁSZF célja</w:t>
      </w:r>
      <w:bookmarkEnd w:id="2"/>
    </w:p>
    <w:p w14:paraId="3511A122" w14:textId="505DAF2F" w:rsidR="00A922AE" w:rsidRPr="00A922AE" w:rsidRDefault="00A922AE" w:rsidP="00EE2B30">
      <w:pPr>
        <w:jc w:val="both"/>
        <w:rPr>
          <w:lang w:val="hu-HU"/>
        </w:rPr>
      </w:pPr>
      <w:r w:rsidRPr="00A922AE">
        <w:rPr>
          <w:lang w:val="hu-HU"/>
        </w:rPr>
        <w:t xml:space="preserve">Jelen dokumentum célja az állami hulladékgazdálkodási közfeladaton belül a hulladékgazdálkodási közszolgáltatási résztevékenység </w:t>
      </w:r>
      <w:r>
        <w:rPr>
          <w:lang w:val="hu-HU"/>
        </w:rPr>
        <w:t xml:space="preserve">ellátásáért felelős </w:t>
      </w:r>
      <w:proofErr w:type="spellStart"/>
      <w:r>
        <w:rPr>
          <w:lang w:val="hu-HU"/>
        </w:rPr>
        <w:t>koncesszor</w:t>
      </w:r>
      <w:proofErr w:type="spellEnd"/>
      <w:r>
        <w:rPr>
          <w:lang w:val="hu-HU"/>
        </w:rPr>
        <w:t xml:space="preserve">, a MOHU Zrt. vonatkozó </w:t>
      </w:r>
      <w:r w:rsidR="00FB09C5">
        <w:rPr>
          <w:lang w:val="hu-HU"/>
        </w:rPr>
        <w:t xml:space="preserve">közszolgáltatási </w:t>
      </w:r>
      <w:r>
        <w:rPr>
          <w:lang w:val="hu-HU"/>
        </w:rPr>
        <w:t>Általános Szerződési Feltétele</w:t>
      </w:r>
      <w:r w:rsidR="00EE2B30">
        <w:rPr>
          <w:lang w:val="hu-HU"/>
        </w:rPr>
        <w:t>i</w:t>
      </w:r>
      <w:r>
        <w:rPr>
          <w:lang w:val="hu-HU"/>
        </w:rPr>
        <w:t xml:space="preserve">ben meghatározott, </w:t>
      </w:r>
      <w:r w:rsidR="00EE2B30">
        <w:rPr>
          <w:lang w:val="hu-HU"/>
        </w:rPr>
        <w:t>a Területi Szolgáltató</w:t>
      </w:r>
      <w:r w:rsidRPr="00A922AE">
        <w:rPr>
          <w:lang w:val="hu-HU"/>
        </w:rPr>
        <w:t xml:space="preserve"> </w:t>
      </w:r>
      <w:r w:rsidR="00EE2B30">
        <w:rPr>
          <w:lang w:val="hu-HU"/>
        </w:rPr>
        <w:t>hatáskörébe delegált r</w:t>
      </w:r>
      <w:r w:rsidRPr="00A922AE">
        <w:rPr>
          <w:lang w:val="hu-HU"/>
        </w:rPr>
        <w:t>észletszabály</w:t>
      </w:r>
      <w:r w:rsidR="00EE2B30">
        <w:rPr>
          <w:lang w:val="hu-HU"/>
        </w:rPr>
        <w:t>o</w:t>
      </w:r>
      <w:r w:rsidRPr="00A922AE">
        <w:rPr>
          <w:lang w:val="hu-HU"/>
        </w:rPr>
        <w:t xml:space="preserve">k meghatározása és ismertetése az </w:t>
      </w:r>
      <w:r w:rsidR="00FB09C5">
        <w:rPr>
          <w:lang w:val="hu-HU"/>
        </w:rPr>
        <w:t>ü</w:t>
      </w:r>
      <w:r w:rsidRPr="00A922AE">
        <w:rPr>
          <w:lang w:val="hu-HU"/>
        </w:rPr>
        <w:t>gyfelekkel.</w:t>
      </w:r>
      <w:r w:rsidR="00EE2B30">
        <w:rPr>
          <w:lang w:val="hu-HU"/>
        </w:rPr>
        <w:t xml:space="preserve"> Jelen Területi ÁSZF csak a MOHU Zrt. Hulladékgazdálkodási Közszolgáltatási Résztevékenységre vonatkozó ÁSZF-</w:t>
      </w:r>
      <w:proofErr w:type="spellStart"/>
      <w:r w:rsidR="00EE2B30">
        <w:rPr>
          <w:lang w:val="hu-HU"/>
        </w:rPr>
        <w:t>jével</w:t>
      </w:r>
      <w:proofErr w:type="spellEnd"/>
      <w:r w:rsidR="00EE2B30">
        <w:rPr>
          <w:lang w:val="hu-HU"/>
        </w:rPr>
        <w:t xml:space="preserve"> együttesen értelmezhető és alkalmazható. A MOHU Zrt. </w:t>
      </w:r>
      <w:r w:rsidR="00AB7159">
        <w:rPr>
          <w:lang w:val="hu-HU"/>
        </w:rPr>
        <w:t xml:space="preserve">mindenkori legfrissebb verziójú </w:t>
      </w:r>
      <w:r w:rsidR="00EE2B30">
        <w:rPr>
          <w:lang w:val="hu-HU"/>
        </w:rPr>
        <w:t>ÁSZF-je elérhető</w:t>
      </w:r>
      <w:r w:rsidR="00AB7159">
        <w:rPr>
          <w:lang w:val="hu-HU"/>
        </w:rPr>
        <w:t xml:space="preserve"> a Területi Szolgáltató ügyfélszolgálati irodájában, valamint</w:t>
      </w:r>
      <w:r w:rsidR="00EE2B30">
        <w:rPr>
          <w:lang w:val="hu-HU"/>
        </w:rPr>
        <w:t xml:space="preserve"> itt:</w:t>
      </w:r>
      <w:r w:rsidR="001E12F5">
        <w:rPr>
          <w:lang w:val="hu-HU"/>
        </w:rPr>
        <w:t xml:space="preserve"> </w:t>
      </w:r>
      <w:r w:rsidR="00EE2B30" w:rsidRPr="00EE2B30">
        <w:rPr>
          <w:lang w:val="hu-HU"/>
        </w:rPr>
        <w:t>https://www.mohu.hu/media/dokumentumtar</w:t>
      </w:r>
      <w:r w:rsidR="001E12F5">
        <w:rPr>
          <w:lang w:val="hu-HU"/>
        </w:rPr>
        <w:t>.</w:t>
      </w:r>
    </w:p>
    <w:p w14:paraId="25B70C08" w14:textId="5FDC36D8" w:rsidR="00230AB6" w:rsidRDefault="00EE2B30" w:rsidP="00EE2B30">
      <w:pPr>
        <w:pStyle w:val="Cmsor2"/>
        <w:numPr>
          <w:ilvl w:val="1"/>
          <w:numId w:val="1"/>
        </w:numPr>
        <w:rPr>
          <w:lang w:val="hu-HU"/>
        </w:rPr>
      </w:pPr>
      <w:bookmarkStart w:id="3" w:name="_Toc143525283"/>
      <w:r>
        <w:rPr>
          <w:lang w:val="hu-HU"/>
        </w:rPr>
        <w:t>A Területi ÁSZF tárgya</w:t>
      </w:r>
      <w:bookmarkEnd w:id="3"/>
    </w:p>
    <w:p w14:paraId="69EA62C6" w14:textId="39FD5B37" w:rsidR="00EE2B30" w:rsidRDefault="009A73BF" w:rsidP="009A73BF">
      <w:pPr>
        <w:jc w:val="both"/>
        <w:rPr>
          <w:lang w:val="hu-HU"/>
        </w:rPr>
      </w:pPr>
      <w:r>
        <w:rPr>
          <w:lang w:val="hu-HU"/>
        </w:rPr>
        <w:t>Jelen Területi ÁSZF a Területi Szolgáltató által nyújtott hulladékgazdálkodási közszolgáltatás részleteit szabályozza, különös tekintettel a hulladék gyűjtésének szabályaira, az ügyfélszolgálatra és az ott intézhető ügyekre.</w:t>
      </w:r>
    </w:p>
    <w:p w14:paraId="4391B22B" w14:textId="46F2BE2B" w:rsidR="00EE2B30" w:rsidRDefault="00EE2B30" w:rsidP="00EE2B30">
      <w:pPr>
        <w:pStyle w:val="Cmsor2"/>
        <w:numPr>
          <w:ilvl w:val="1"/>
          <w:numId w:val="1"/>
        </w:numPr>
        <w:rPr>
          <w:lang w:val="hu-HU"/>
        </w:rPr>
      </w:pPr>
      <w:bookmarkStart w:id="4" w:name="_Toc143525284"/>
      <w:r>
        <w:rPr>
          <w:lang w:val="hu-HU"/>
        </w:rPr>
        <w:t>A Területi ÁSZF hatálya</w:t>
      </w:r>
      <w:bookmarkEnd w:id="4"/>
    </w:p>
    <w:p w14:paraId="04DC5811" w14:textId="606FB4A2" w:rsidR="00EE2B30" w:rsidRDefault="00EE2B30" w:rsidP="00EE2B30">
      <w:pPr>
        <w:jc w:val="both"/>
        <w:rPr>
          <w:lang w:val="hu-HU"/>
        </w:rPr>
      </w:pPr>
      <w:r w:rsidRPr="00EE2B30">
        <w:rPr>
          <w:lang w:val="hu-HU"/>
        </w:rPr>
        <w:t xml:space="preserve">Jelen </w:t>
      </w:r>
      <w:r>
        <w:rPr>
          <w:lang w:val="hu-HU"/>
        </w:rPr>
        <w:t xml:space="preserve">Területi </w:t>
      </w:r>
      <w:r w:rsidRPr="00EE2B30">
        <w:rPr>
          <w:lang w:val="hu-HU"/>
        </w:rPr>
        <w:t>ÁSZF hatálya a hulladékgazdálkodási közszolgáltatási résztevékenységet ellátó</w:t>
      </w:r>
      <w:r w:rsidR="00384598">
        <w:rPr>
          <w:lang w:val="hu-HU"/>
        </w:rPr>
        <w:t xml:space="preserve"> PEVIK Közüzemi és Szolgáltató Nonprofit Kft.-re, mint Területi Szolgáltatóra,</w:t>
      </w:r>
      <w:r w:rsidRPr="00EE2B30">
        <w:rPr>
          <w:lang w:val="hu-HU"/>
        </w:rPr>
        <w:t xml:space="preserve"> valamint a szolgáltatás igénybevételére kötelezett ingatlanhasználó</w:t>
      </w:r>
      <w:r w:rsidR="00384598">
        <w:rPr>
          <w:lang w:val="hu-HU"/>
        </w:rPr>
        <w:t>k</w:t>
      </w:r>
      <w:r w:rsidRPr="00EE2B30">
        <w:rPr>
          <w:lang w:val="hu-HU"/>
        </w:rPr>
        <w:t>r</w:t>
      </w:r>
      <w:r w:rsidR="00D61F00">
        <w:rPr>
          <w:lang w:val="hu-HU"/>
        </w:rPr>
        <w:t>a</w:t>
      </w:r>
      <w:r>
        <w:rPr>
          <w:lang w:val="hu-HU"/>
        </w:rPr>
        <w:t>,</w:t>
      </w:r>
      <w:r w:rsidRPr="00EE2B30">
        <w:rPr>
          <w:lang w:val="hu-HU"/>
        </w:rPr>
        <w:t xml:space="preserve"> illetve minden további </w:t>
      </w:r>
      <w:r w:rsidR="00FB09C5">
        <w:rPr>
          <w:lang w:val="hu-HU"/>
        </w:rPr>
        <w:t>é</w:t>
      </w:r>
      <w:r w:rsidRPr="00EE2B30">
        <w:rPr>
          <w:lang w:val="hu-HU"/>
        </w:rPr>
        <w:t xml:space="preserve">rdeklődőre terjed ki, </w:t>
      </w:r>
      <w:r>
        <w:rPr>
          <w:lang w:val="hu-HU"/>
        </w:rPr>
        <w:t>a Területi Szolgáltató szolgáltatási területén, mely az alábbi települések közigazgatási határain belül található:</w:t>
      </w:r>
    </w:p>
    <w:p w14:paraId="6261218F" w14:textId="77777777" w:rsidR="009D7711" w:rsidRDefault="009D7711" w:rsidP="00EE2B30">
      <w:pPr>
        <w:jc w:val="both"/>
        <w:rPr>
          <w:lang w:val="hu-HU"/>
        </w:rPr>
        <w:sectPr w:rsidR="009D7711" w:rsidSect="008C472E">
          <w:footerReference w:type="default" r:id="rId10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14:paraId="1AF8A460" w14:textId="32BDBD61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Bodony</w:t>
      </w:r>
    </w:p>
    <w:p w14:paraId="3416F47A" w14:textId="738243E6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Bükkszék</w:t>
      </w:r>
    </w:p>
    <w:p w14:paraId="6773D01B" w14:textId="75EE163F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Bükkszenterzsébet</w:t>
      </w:r>
    </w:p>
    <w:p w14:paraId="49D87708" w14:textId="5DA81723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Egerbakta</w:t>
      </w:r>
    </w:p>
    <w:p w14:paraId="148C7F19" w14:textId="7F14F49E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Egercsehi</w:t>
      </w:r>
    </w:p>
    <w:p w14:paraId="61F954AC" w14:textId="22ACDB87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Erdőkövesd</w:t>
      </w:r>
    </w:p>
    <w:p w14:paraId="5C6E8084" w14:textId="32C088A3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Fedémes</w:t>
      </w:r>
    </w:p>
    <w:p w14:paraId="1F4693EF" w14:textId="307FB982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Feldebrő</w:t>
      </w:r>
    </w:p>
    <w:p w14:paraId="2EFC8F76" w14:textId="4A4E1467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Hevesaranyos</w:t>
      </w:r>
    </w:p>
    <w:p w14:paraId="30717D4C" w14:textId="0049D946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Istenmezeje</w:t>
      </w:r>
    </w:p>
    <w:p w14:paraId="2C2103A9" w14:textId="61351C86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Ivád</w:t>
      </w:r>
    </w:p>
    <w:p w14:paraId="4D941E1D" w14:textId="5CDB966F" w:rsidR="00EE2B30" w:rsidRDefault="00EE2B30" w:rsidP="00AB7159">
      <w:pPr>
        <w:spacing w:after="0"/>
        <w:jc w:val="center"/>
        <w:rPr>
          <w:lang w:val="hu-HU"/>
        </w:rPr>
      </w:pPr>
      <w:r>
        <w:rPr>
          <w:lang w:val="hu-HU"/>
        </w:rPr>
        <w:t>Kisfüzes</w:t>
      </w:r>
    </w:p>
    <w:p w14:paraId="22FFA8F5" w14:textId="45C992F8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Mátraballa</w:t>
      </w:r>
    </w:p>
    <w:p w14:paraId="61180637" w14:textId="433F889C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Mátraderecske</w:t>
      </w:r>
    </w:p>
    <w:p w14:paraId="77689B17" w14:textId="0A92C794" w:rsidR="009D7711" w:rsidRDefault="009D7711" w:rsidP="00856336">
      <w:pPr>
        <w:spacing w:after="0"/>
        <w:jc w:val="center"/>
        <w:rPr>
          <w:lang w:val="hu-HU"/>
        </w:rPr>
      </w:pPr>
      <w:r>
        <w:rPr>
          <w:lang w:val="hu-HU"/>
        </w:rPr>
        <w:t>Nagyvisnyó</w:t>
      </w:r>
    </w:p>
    <w:p w14:paraId="3BFF2E57" w14:textId="362BBEC7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Parád</w:t>
      </w:r>
    </w:p>
    <w:p w14:paraId="47429A14" w14:textId="19DA234E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Pétervására</w:t>
      </w:r>
    </w:p>
    <w:p w14:paraId="60891D5C" w14:textId="05D12BD0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Recsk</w:t>
      </w:r>
    </w:p>
    <w:p w14:paraId="448A87DB" w14:textId="5291CB75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Sirok</w:t>
      </w:r>
    </w:p>
    <w:p w14:paraId="3E371727" w14:textId="49B29E1F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Szajla</w:t>
      </w:r>
    </w:p>
    <w:p w14:paraId="6468F835" w14:textId="46BC58CF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Szarvaskő</w:t>
      </w:r>
    </w:p>
    <w:p w14:paraId="42A7D1CB" w14:textId="40119B76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Szentdomonkos</w:t>
      </w:r>
    </w:p>
    <w:p w14:paraId="622D9E91" w14:textId="2FA6A8ED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Szilvásvárad</w:t>
      </w:r>
    </w:p>
    <w:p w14:paraId="7E85E3EB" w14:textId="1DC67971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Szúcs</w:t>
      </w:r>
    </w:p>
    <w:p w14:paraId="79FDEEFE" w14:textId="423CCFCE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Tarnalelesz</w:t>
      </w:r>
    </w:p>
    <w:p w14:paraId="31FCECBA" w14:textId="2CA04EBA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Tarnaszentmária</w:t>
      </w:r>
    </w:p>
    <w:p w14:paraId="1CF90F56" w14:textId="50930B0A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Terpes</w:t>
      </w:r>
    </w:p>
    <w:p w14:paraId="341B716D" w14:textId="4E11D53D" w:rsidR="009D7711" w:rsidRDefault="009D7711" w:rsidP="00AB7159">
      <w:pPr>
        <w:spacing w:after="0"/>
        <w:jc w:val="center"/>
        <w:rPr>
          <w:lang w:val="hu-HU"/>
        </w:rPr>
      </w:pPr>
      <w:r>
        <w:rPr>
          <w:lang w:val="hu-HU"/>
        </w:rPr>
        <w:t>Váraszó</w:t>
      </w:r>
    </w:p>
    <w:p w14:paraId="60456F92" w14:textId="77777777" w:rsidR="00856336" w:rsidRDefault="009D7711" w:rsidP="00AB7159">
      <w:pPr>
        <w:spacing w:after="0"/>
        <w:jc w:val="center"/>
        <w:rPr>
          <w:lang w:val="hu-HU"/>
        </w:rPr>
        <w:sectPr w:rsidR="00856336" w:rsidSect="0085633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lang w:val="hu-HU"/>
        </w:rPr>
        <w:t>Verpelét</w:t>
      </w:r>
    </w:p>
    <w:p w14:paraId="1D2E6A04" w14:textId="6CB477B4" w:rsidR="009D7711" w:rsidRPr="00EE2B30" w:rsidRDefault="009D7711" w:rsidP="00AB7159">
      <w:pPr>
        <w:spacing w:after="0"/>
        <w:jc w:val="center"/>
        <w:rPr>
          <w:lang w:val="hu-HU"/>
        </w:rPr>
      </w:pPr>
    </w:p>
    <w:p w14:paraId="43515DD0" w14:textId="77777777" w:rsidR="009D7711" w:rsidRDefault="009D7711" w:rsidP="00AB7159">
      <w:pPr>
        <w:jc w:val="both"/>
        <w:rPr>
          <w:lang w:val="hu-HU"/>
        </w:rPr>
        <w:sectPr w:rsidR="009D7711" w:rsidSect="009D77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4061BF" w14:textId="32DD1FA0" w:rsidR="00EE2B30" w:rsidRDefault="009D7711" w:rsidP="00AB7159">
      <w:pPr>
        <w:jc w:val="both"/>
        <w:rPr>
          <w:lang w:val="hu-HU"/>
        </w:rPr>
      </w:pPr>
      <w:r>
        <w:rPr>
          <w:lang w:val="hu-HU"/>
        </w:rPr>
        <w:t>A Területi ÁSZF 2023.07.01-jén lép hatályba</w:t>
      </w:r>
      <w:r w:rsidR="00AB7159">
        <w:rPr>
          <w:lang w:val="hu-HU"/>
        </w:rPr>
        <w:t>.</w:t>
      </w:r>
    </w:p>
    <w:p w14:paraId="6F6A2C72" w14:textId="3140864C" w:rsidR="009D7711" w:rsidRPr="00EE2B30" w:rsidRDefault="00AB7159" w:rsidP="009B0CCA">
      <w:pPr>
        <w:jc w:val="both"/>
        <w:rPr>
          <w:lang w:val="hu-HU"/>
        </w:rPr>
      </w:pPr>
      <w:r>
        <w:rPr>
          <w:lang w:val="hu-HU"/>
        </w:rPr>
        <w:t>A Területi ÁSZF a szolgáltatás igénybevételével ráutaló magatartással elfogadottnak tekintendő.</w:t>
      </w:r>
    </w:p>
    <w:p w14:paraId="38920537" w14:textId="76A26831" w:rsidR="00230AB6" w:rsidRDefault="00AB7159" w:rsidP="009B0CCA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5" w:name="_Toc143525285"/>
      <w:r>
        <w:rPr>
          <w:lang w:val="hu-HU"/>
        </w:rPr>
        <w:lastRenderedPageBreak/>
        <w:t>A Területi ÁSZF közzététele</w:t>
      </w:r>
      <w:bookmarkEnd w:id="5"/>
    </w:p>
    <w:p w14:paraId="44FB4567" w14:textId="5D936F56" w:rsidR="00AB7159" w:rsidRDefault="00AB7159" w:rsidP="009B0CCA">
      <w:pPr>
        <w:jc w:val="both"/>
        <w:rPr>
          <w:lang w:val="hu-HU"/>
        </w:rPr>
      </w:pPr>
      <w:r>
        <w:rPr>
          <w:lang w:val="hu-HU"/>
        </w:rPr>
        <w:t xml:space="preserve">Jelen dokumentum mindenkori legfrissebb verziója a </w:t>
      </w:r>
      <w:r w:rsidRPr="00D858E9">
        <w:rPr>
          <w:lang w:val="hu-HU"/>
        </w:rPr>
        <w:t>www.pevik.hu</w:t>
      </w:r>
      <w:r>
        <w:rPr>
          <w:lang w:val="hu-HU"/>
        </w:rPr>
        <w:t xml:space="preserve"> oldalon, valamint a Területi Szolgáltató ügyfélszolgálati irodájában érhető el.</w:t>
      </w:r>
    </w:p>
    <w:p w14:paraId="5CF48A61" w14:textId="4364EDBD" w:rsidR="00AB7159" w:rsidRDefault="00AB7159" w:rsidP="009B0CCA">
      <w:pPr>
        <w:jc w:val="both"/>
        <w:rPr>
          <w:lang w:val="hu-HU"/>
        </w:rPr>
      </w:pPr>
      <w:r>
        <w:rPr>
          <w:lang w:val="hu-HU"/>
        </w:rPr>
        <w:t>A Területi ÁSZF utolsó módosításának dátuma: 2023.0</w:t>
      </w:r>
      <w:r w:rsidR="00FB09C5">
        <w:rPr>
          <w:lang w:val="hu-HU"/>
        </w:rPr>
        <w:t>8</w:t>
      </w:r>
      <w:r>
        <w:rPr>
          <w:lang w:val="hu-HU"/>
        </w:rPr>
        <w:t>.0</w:t>
      </w:r>
      <w:r w:rsidR="00FB09C5">
        <w:rPr>
          <w:lang w:val="hu-HU"/>
        </w:rPr>
        <w:t>8</w:t>
      </w:r>
      <w:r>
        <w:rPr>
          <w:lang w:val="hu-HU"/>
        </w:rPr>
        <w:t>.</w:t>
      </w:r>
    </w:p>
    <w:p w14:paraId="7C686BB2" w14:textId="17965E9F" w:rsidR="00AB7159" w:rsidRDefault="00D858E9" w:rsidP="009B0CCA">
      <w:pPr>
        <w:pStyle w:val="Cmsor1"/>
        <w:numPr>
          <w:ilvl w:val="0"/>
          <w:numId w:val="1"/>
        </w:numPr>
        <w:jc w:val="both"/>
        <w:rPr>
          <w:lang w:val="hu-HU"/>
        </w:rPr>
      </w:pPr>
      <w:bookmarkStart w:id="6" w:name="_Toc143525286"/>
      <w:r>
        <w:rPr>
          <w:lang w:val="hu-HU"/>
        </w:rPr>
        <w:t>A hulladékgazdálkodási közszolgáltatás körébe tartozó hulladékok gyűjtésének szabályai</w:t>
      </w:r>
      <w:bookmarkEnd w:id="6"/>
    </w:p>
    <w:p w14:paraId="3C99E351" w14:textId="406D78B5" w:rsidR="00AE0B03" w:rsidRDefault="00AE0B03" w:rsidP="00AE0B03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7" w:name="_Toc143525287"/>
      <w:r>
        <w:rPr>
          <w:lang w:val="hu-HU"/>
        </w:rPr>
        <w:t>Általános szabályok</w:t>
      </w:r>
      <w:bookmarkEnd w:id="7"/>
    </w:p>
    <w:p w14:paraId="381E656A" w14:textId="07253910" w:rsidR="00AE0B03" w:rsidRPr="00AE0B03" w:rsidRDefault="00AE0B03" w:rsidP="00AE0B03">
      <w:pPr>
        <w:jc w:val="both"/>
        <w:rPr>
          <w:lang w:val="hu-HU"/>
        </w:rPr>
      </w:pPr>
      <w:r w:rsidRPr="00AE0B03">
        <w:rPr>
          <w:lang w:val="hu-HU"/>
        </w:rPr>
        <w:t>A hulladék gyűjtését a Területi Szolgáltató hétköznaponként reggel 6 és délután 5 óra között végzi a Területi Szolgáltató honlapján és ügyfélszolgálati irodájában elérhető hulladékszállítási naptárban megjelölt napokon</w:t>
      </w:r>
      <w:r>
        <w:rPr>
          <w:lang w:val="hu-HU"/>
        </w:rPr>
        <w:t xml:space="preserve"> (vagy lomhulladék esetében az ügyféllel közölt egyedi begyűjtési napon)</w:t>
      </w:r>
      <w:r w:rsidRPr="00AE0B03">
        <w:rPr>
          <w:lang w:val="hu-HU"/>
        </w:rPr>
        <w:t>. Rendkívüli eset miatt Területi Szolgáltató ideiglenesen eltérhet a tervezett szállítási naptól, melyről az ügyfeleket közvetlenül (honlapján vagy egyéb internetes felületen) és/vagy a helyileg illetékes önkormányzaton keresztül értesíti.</w:t>
      </w:r>
    </w:p>
    <w:p w14:paraId="086C44D9" w14:textId="72CFA055" w:rsidR="00AE0B03" w:rsidRPr="00AE0B03" w:rsidRDefault="00AE0B03" w:rsidP="00A70222">
      <w:pPr>
        <w:jc w:val="both"/>
        <w:rPr>
          <w:lang w:val="hu-HU"/>
        </w:rPr>
      </w:pPr>
      <w:r w:rsidRPr="005A3BDC">
        <w:rPr>
          <w:lang w:val="hu-HU"/>
        </w:rPr>
        <w:t>Amennyiben az ügyfél ingatlana a Területi Szolgáltató által rendszeresen használt járművekkel nem megközelíthető helyszínen található, úgy a Területi Szolgáltató – amint erről tudomást szerez – értesíti az ügyfelet az ügyfél által megadott elérhetőségek egyikén, és közli az ügyféllel azt a helyszínt, ahova az ügyfélnek ki kell helyeznie a hulladékot elszállításra.</w:t>
      </w:r>
    </w:p>
    <w:p w14:paraId="166E00EC" w14:textId="47E39D6F" w:rsidR="00AB7159" w:rsidRDefault="00AB7159" w:rsidP="009B0CCA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8" w:name="_Toc143525288"/>
      <w:r>
        <w:rPr>
          <w:lang w:val="hu-HU"/>
        </w:rPr>
        <w:t xml:space="preserve">A </w:t>
      </w:r>
      <w:r w:rsidR="00F24DC4">
        <w:rPr>
          <w:lang w:val="hu-HU"/>
        </w:rPr>
        <w:t>t</w:t>
      </w:r>
      <w:r>
        <w:rPr>
          <w:lang w:val="hu-HU"/>
        </w:rPr>
        <w:t>elepülési vegyes hulladék gyűjtés</w:t>
      </w:r>
      <w:r w:rsidR="00D858E9">
        <w:rPr>
          <w:lang w:val="hu-HU"/>
        </w:rPr>
        <w:t>e</w:t>
      </w:r>
      <w:bookmarkEnd w:id="8"/>
    </w:p>
    <w:p w14:paraId="1CBFD2CF" w14:textId="46D86400" w:rsidR="00AB7159" w:rsidRDefault="009B0CCA" w:rsidP="009B0CCA">
      <w:pPr>
        <w:jc w:val="both"/>
        <w:rPr>
          <w:lang w:val="hu-HU"/>
        </w:rPr>
      </w:pPr>
      <w:r>
        <w:rPr>
          <w:lang w:val="hu-HU"/>
        </w:rPr>
        <w:t xml:space="preserve">A természetes és nem természetes személy közszolgáltatási résztevékenység körébe tartozó </w:t>
      </w:r>
      <w:r w:rsidR="00F24DC4">
        <w:rPr>
          <w:lang w:val="hu-HU"/>
        </w:rPr>
        <w:t>t</w:t>
      </w:r>
      <w:r>
        <w:rPr>
          <w:lang w:val="hu-HU"/>
        </w:rPr>
        <w:t xml:space="preserve">elepülési vegyes hulladékát a Területi Szolgáltató házhoz menő gyűjtési rendszer keretében szállítja el. A </w:t>
      </w:r>
      <w:r w:rsidR="00F24DC4">
        <w:rPr>
          <w:lang w:val="hu-HU"/>
        </w:rPr>
        <w:t>t</w:t>
      </w:r>
      <w:r>
        <w:rPr>
          <w:lang w:val="hu-HU"/>
        </w:rPr>
        <w:t xml:space="preserve">elepülési vegyes hulladék gyűjtésére Területi Szolgáltató hetente egyszer áll rendelkezésre. Ettől sűrűbb gyűjtési gyakoriságot a Területi Szolgáltató kapacitásától függően, az </w:t>
      </w:r>
      <w:r w:rsidR="00F24DC4">
        <w:rPr>
          <w:lang w:val="hu-HU"/>
        </w:rPr>
        <w:t>ügyféllel</w:t>
      </w:r>
      <w:r>
        <w:rPr>
          <w:lang w:val="hu-HU"/>
        </w:rPr>
        <w:t xml:space="preserve"> kötött kétoldalú megállapodá</w:t>
      </w:r>
      <w:r w:rsidR="00EE0519">
        <w:rPr>
          <w:lang w:val="hu-HU"/>
        </w:rPr>
        <w:t>sban</w:t>
      </w:r>
      <w:r>
        <w:rPr>
          <w:lang w:val="hu-HU"/>
        </w:rPr>
        <w:t xml:space="preserve"> ajánlhat fel.</w:t>
      </w:r>
    </w:p>
    <w:p w14:paraId="32C1E1D3" w14:textId="309AD8F5" w:rsidR="00F24DC4" w:rsidRDefault="00F24DC4" w:rsidP="009B0CCA">
      <w:pPr>
        <w:jc w:val="both"/>
        <w:rPr>
          <w:lang w:val="hu-HU"/>
        </w:rPr>
      </w:pPr>
      <w:r>
        <w:rPr>
          <w:lang w:val="hu-HU"/>
        </w:rPr>
        <w:t xml:space="preserve">A települési vegyes hulladékot az ügyfél az általa bejelentett méretű, MSZ840 szabványú hulladékgyűjtő </w:t>
      </w:r>
      <w:proofErr w:type="spellStart"/>
      <w:r>
        <w:rPr>
          <w:lang w:val="hu-HU"/>
        </w:rPr>
        <w:t>edényzetben</w:t>
      </w:r>
      <w:proofErr w:type="spellEnd"/>
      <w:r>
        <w:rPr>
          <w:lang w:val="hu-HU"/>
        </w:rPr>
        <w:t xml:space="preserve">, vagy a Területi Szolgáltató által jóváhagyott zsákban helyezi ki begyűjtésre. Az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űrmértékét meghaladó mennyiségű hulladék többlet részét ügyfél a Területi Szolgáltatótól vásárolt zsákban helyezheti ki.</w:t>
      </w:r>
    </w:p>
    <w:p w14:paraId="3F81FBE1" w14:textId="27F8A6A8" w:rsidR="00F24DC4" w:rsidRPr="00AB7159" w:rsidRDefault="00F24DC4" w:rsidP="009B0CCA">
      <w:pPr>
        <w:jc w:val="both"/>
        <w:rPr>
          <w:lang w:val="hu-HU"/>
        </w:rPr>
      </w:pPr>
      <w:r>
        <w:rPr>
          <w:lang w:val="hu-HU"/>
        </w:rPr>
        <w:t xml:space="preserve">A szabványos </w:t>
      </w:r>
      <w:proofErr w:type="spellStart"/>
      <w:r>
        <w:rPr>
          <w:lang w:val="hu-HU"/>
        </w:rPr>
        <w:t>edényzetben</w:t>
      </w:r>
      <w:proofErr w:type="spellEnd"/>
      <w:r>
        <w:rPr>
          <w:lang w:val="hu-HU"/>
        </w:rPr>
        <w:t xml:space="preserve"> vagy zsákban elhelyezett hulladék kizárólag települési vegyes hulladék lehet, ami nem tartalmazhatja többek között a következőket: veszélyes hulladék, építési-bontási törmelék, használt sütőolaj, elektronikai hulladék, gumiabroncs</w:t>
      </w:r>
      <w:r w:rsidR="001606E9">
        <w:rPr>
          <w:lang w:val="hu-HU"/>
        </w:rPr>
        <w:t>, pántoló szalag, ipari kábel, hamu.</w:t>
      </w:r>
    </w:p>
    <w:p w14:paraId="204B80E2" w14:textId="708DA64A" w:rsidR="00BD5113" w:rsidRDefault="00BD5113" w:rsidP="00EE2B30">
      <w:pPr>
        <w:jc w:val="both"/>
        <w:rPr>
          <w:lang w:val="hu-HU"/>
        </w:rPr>
      </w:pPr>
      <w:r>
        <w:rPr>
          <w:lang w:val="hu-HU"/>
        </w:rPr>
        <w:t xml:space="preserve">A települési vegyes hulladékot ügyfél az alábbi méretű hulladékgyűjtő </w:t>
      </w:r>
      <w:proofErr w:type="spellStart"/>
      <w:r>
        <w:rPr>
          <w:lang w:val="hu-HU"/>
        </w:rPr>
        <w:t>edényzetekben</w:t>
      </w:r>
      <w:proofErr w:type="spellEnd"/>
      <w:r>
        <w:rPr>
          <w:lang w:val="hu-HU"/>
        </w:rPr>
        <w:t xml:space="preserve"> helyezheti ki begyűjtésre:</w:t>
      </w:r>
    </w:p>
    <w:p w14:paraId="05315D12" w14:textId="4D73AC2D" w:rsidR="00BD5113" w:rsidRDefault="00BD5113" w:rsidP="00EE2B30">
      <w:pPr>
        <w:jc w:val="both"/>
        <w:rPr>
          <w:lang w:val="hu-HU"/>
        </w:rPr>
      </w:pPr>
      <w:r w:rsidRPr="00EE0519">
        <w:rPr>
          <w:lang w:val="hu-HU"/>
        </w:rPr>
        <w:t>60 liter, 80 liter, 120 liter, 240 liter, 660 liter, 1100 liter</w:t>
      </w:r>
    </w:p>
    <w:p w14:paraId="4807DC52" w14:textId="210C0D35" w:rsidR="00BD5113" w:rsidRDefault="00BD5113" w:rsidP="00EE2B30">
      <w:pPr>
        <w:jc w:val="both"/>
        <w:rPr>
          <w:lang w:val="hu-HU"/>
        </w:rPr>
      </w:pPr>
      <w:r>
        <w:rPr>
          <w:lang w:val="hu-HU"/>
        </w:rPr>
        <w:t xml:space="preserve">A települési vegyes hulladékot ügyfél csak abban az esetben helyezheti ki 60 literes </w:t>
      </w:r>
      <w:proofErr w:type="spellStart"/>
      <w:r>
        <w:rPr>
          <w:lang w:val="hu-HU"/>
        </w:rPr>
        <w:t>edényzetben</w:t>
      </w:r>
      <w:proofErr w:type="spellEnd"/>
      <w:r>
        <w:rPr>
          <w:lang w:val="hu-HU"/>
        </w:rPr>
        <w:t xml:space="preserve">, ha Területi Szolgáltatónak (Kormányablak vagy a helyileg illetékes önkormányzat által kiállított) hatósági bizonyítvánnyal igazolja, hogy egyedül használja az ingatlant, és számlával vagy fotóval bizonyítja a 60 literes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meglétét.</w:t>
      </w:r>
    </w:p>
    <w:p w14:paraId="4472050E" w14:textId="00564E44" w:rsidR="00BD5113" w:rsidRDefault="00BD5113" w:rsidP="00EE2B30">
      <w:pPr>
        <w:jc w:val="both"/>
        <w:rPr>
          <w:lang w:val="hu-HU"/>
        </w:rPr>
      </w:pPr>
      <w:r>
        <w:rPr>
          <w:lang w:val="hu-HU"/>
        </w:rPr>
        <w:t xml:space="preserve">A települési vegyes hulladékot ügyfél csak abban az esetben helyezheti ki 80 literes </w:t>
      </w:r>
      <w:proofErr w:type="spellStart"/>
      <w:r>
        <w:rPr>
          <w:lang w:val="hu-HU"/>
        </w:rPr>
        <w:t>edényzetben</w:t>
      </w:r>
      <w:proofErr w:type="spellEnd"/>
      <w:r>
        <w:rPr>
          <w:lang w:val="hu-HU"/>
        </w:rPr>
        <w:t xml:space="preserve">, ha Területi Szolgáltatónak számlával vagy fotóval bizonyítja a 80 literes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meglétét.</w:t>
      </w:r>
    </w:p>
    <w:p w14:paraId="07150C46" w14:textId="2ED1F745" w:rsidR="00230AB6" w:rsidRDefault="001606E9" w:rsidP="00EE2B30">
      <w:pPr>
        <w:jc w:val="both"/>
        <w:rPr>
          <w:lang w:val="hu-HU"/>
        </w:rPr>
      </w:pPr>
      <w:r>
        <w:rPr>
          <w:lang w:val="hu-HU"/>
        </w:rPr>
        <w:lastRenderedPageBreak/>
        <w:t xml:space="preserve">A települési vegyes hulladék gyűjtésére szolgáló </w:t>
      </w:r>
      <w:proofErr w:type="spellStart"/>
      <w:r>
        <w:rPr>
          <w:lang w:val="hu-HU"/>
        </w:rPr>
        <w:t>edényzetet</w:t>
      </w:r>
      <w:proofErr w:type="spellEnd"/>
      <w:r>
        <w:rPr>
          <w:lang w:val="hu-HU"/>
        </w:rPr>
        <w:t xml:space="preserve"> vagy zsákot ügyfél csak az </w:t>
      </w:r>
      <w:proofErr w:type="spellStart"/>
      <w:r>
        <w:rPr>
          <w:lang w:val="hu-HU"/>
        </w:rPr>
        <w:t>edényzet</w:t>
      </w:r>
      <w:r w:rsidR="00BD5113">
        <w:rPr>
          <w:lang w:val="hu-HU"/>
        </w:rPr>
        <w:t>en</w:t>
      </w:r>
      <w:proofErr w:type="spellEnd"/>
      <w:r>
        <w:rPr>
          <w:lang w:val="hu-HU"/>
        </w:rPr>
        <w:t xml:space="preserve"> vagy a zsák</w:t>
      </w:r>
      <w:r w:rsidR="00BD5113">
        <w:rPr>
          <w:lang w:val="hu-HU"/>
        </w:rPr>
        <w:t xml:space="preserve">on megjelölt maximális teherbírás mértékéig töltheti meg. Amennyiben az </w:t>
      </w:r>
      <w:proofErr w:type="spellStart"/>
      <w:r w:rsidR="00BD5113">
        <w:rPr>
          <w:lang w:val="hu-HU"/>
        </w:rPr>
        <w:t>edényzethez</w:t>
      </w:r>
      <w:proofErr w:type="spellEnd"/>
      <w:r w:rsidR="00BD5113">
        <w:rPr>
          <w:lang w:val="hu-HU"/>
        </w:rPr>
        <w:t xml:space="preserve"> vagy a zsákhoz nem érhető el információ a maximális teherbírásról, úgy az alábbi értékeket kell alkalmazni:</w:t>
      </w:r>
    </w:p>
    <w:p w14:paraId="5F5F1A06" w14:textId="62FBFA9A" w:rsidR="00BD5113" w:rsidRDefault="00BD5113" w:rsidP="00BD511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60 liter: 20 kg</w:t>
      </w:r>
    </w:p>
    <w:p w14:paraId="77C9E2FF" w14:textId="7C92FCA0" w:rsidR="00BD5113" w:rsidRDefault="00BD5113" w:rsidP="00BD511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80 liter: 25 kg</w:t>
      </w:r>
    </w:p>
    <w:p w14:paraId="2DF288CD" w14:textId="0319444C" w:rsidR="00BD5113" w:rsidRDefault="00BD5113" w:rsidP="00BD511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120 liter: 30 kg</w:t>
      </w:r>
    </w:p>
    <w:p w14:paraId="7B5DCD54" w14:textId="0A052F05" w:rsidR="00BD5113" w:rsidRDefault="00BD5113" w:rsidP="00BD511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240 liter: 50 kg</w:t>
      </w:r>
    </w:p>
    <w:p w14:paraId="72008870" w14:textId="0FA88981" w:rsidR="00BD5113" w:rsidRDefault="00BD5113" w:rsidP="00BD511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660 liter: 150 kg</w:t>
      </w:r>
    </w:p>
    <w:p w14:paraId="4FAFE444" w14:textId="198266AE" w:rsidR="00BD5113" w:rsidRDefault="00BD5113" w:rsidP="00BD5113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1100 liter: 250 kg</w:t>
      </w:r>
    </w:p>
    <w:p w14:paraId="65937539" w14:textId="558C3F4B" w:rsidR="00EE0519" w:rsidRDefault="00EE0519" w:rsidP="00EE0519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9" w:name="_Toc143525289"/>
      <w:r>
        <w:rPr>
          <w:lang w:val="hu-HU"/>
        </w:rPr>
        <w:t xml:space="preserve">A </w:t>
      </w:r>
      <w:r w:rsidR="006E477B">
        <w:rPr>
          <w:lang w:val="hu-HU"/>
        </w:rPr>
        <w:t>csomagolási hulladék gyűjtés</w:t>
      </w:r>
      <w:r w:rsidR="00D858E9">
        <w:rPr>
          <w:lang w:val="hu-HU"/>
        </w:rPr>
        <w:t>e</w:t>
      </w:r>
      <w:bookmarkEnd w:id="9"/>
    </w:p>
    <w:p w14:paraId="6504FA86" w14:textId="1F46FE59" w:rsidR="00EE0519" w:rsidRDefault="00EE0519" w:rsidP="00EE0519">
      <w:pPr>
        <w:jc w:val="both"/>
        <w:rPr>
          <w:lang w:val="hu-HU"/>
        </w:rPr>
      </w:pPr>
      <w:r>
        <w:rPr>
          <w:lang w:val="hu-HU"/>
        </w:rPr>
        <w:t>A természetes és nem természetes személy közszolgáltatási résztevékenység körébe tartozó</w:t>
      </w:r>
      <w:r w:rsidR="006E477B">
        <w:rPr>
          <w:lang w:val="hu-HU"/>
        </w:rPr>
        <w:t xml:space="preserve">, elkülönítetten gyűjtött csomagolási </w:t>
      </w:r>
      <w:r>
        <w:rPr>
          <w:lang w:val="hu-HU"/>
        </w:rPr>
        <w:t>hulladékát a Területi Szolgáltató házhoz menő</w:t>
      </w:r>
      <w:r w:rsidR="006E477B">
        <w:rPr>
          <w:lang w:val="hu-HU"/>
        </w:rPr>
        <w:t>, valamint gyűjtőpontos</w:t>
      </w:r>
      <w:r>
        <w:rPr>
          <w:lang w:val="hu-HU"/>
        </w:rPr>
        <w:t xml:space="preserve"> gyűjtési rendszer keretében szállítja el.</w:t>
      </w:r>
    </w:p>
    <w:p w14:paraId="7BF03A87" w14:textId="50FF0C44" w:rsidR="006E477B" w:rsidRDefault="006E477B" w:rsidP="006E477B">
      <w:pPr>
        <w:pStyle w:val="Cmsor3"/>
        <w:numPr>
          <w:ilvl w:val="2"/>
          <w:numId w:val="1"/>
        </w:numPr>
        <w:rPr>
          <w:lang w:val="hu-HU"/>
        </w:rPr>
      </w:pPr>
      <w:bookmarkStart w:id="10" w:name="_Toc143525290"/>
      <w:r>
        <w:rPr>
          <w:lang w:val="hu-HU"/>
        </w:rPr>
        <w:t>Papír, műanyag és fém csomagolási hulladék</w:t>
      </w:r>
      <w:bookmarkEnd w:id="10"/>
    </w:p>
    <w:p w14:paraId="4EE39FB6" w14:textId="6D9EC2D6" w:rsidR="006E477B" w:rsidRDefault="006E477B" w:rsidP="006E477B">
      <w:pPr>
        <w:jc w:val="both"/>
        <w:rPr>
          <w:lang w:val="hu-HU"/>
        </w:rPr>
      </w:pPr>
      <w:r>
        <w:rPr>
          <w:lang w:val="hu-HU"/>
        </w:rPr>
        <w:t>Az elkülönítetten gyűjtött papír, műanyag és fém csomagolási hulladékot Területi Szolgáltató házhoz menő gyűjtési rendszerben szállítja el kéthetente egyszer. Ettől sűrűbb gyűjtési gyakoriságot a Területi Szolgáltató kapacitásától függően, az ügyféllel kötött kétoldalú megállapodásban ajánlhat fel.</w:t>
      </w:r>
    </w:p>
    <w:p w14:paraId="609CF52E" w14:textId="13B8F1A9" w:rsidR="00EE0519" w:rsidRDefault="00EE0519" w:rsidP="006E477B">
      <w:pPr>
        <w:jc w:val="both"/>
        <w:rPr>
          <w:lang w:val="hu-HU"/>
        </w:rPr>
      </w:pPr>
      <w:r>
        <w:rPr>
          <w:lang w:val="hu-HU"/>
        </w:rPr>
        <w:t>A</w:t>
      </w:r>
      <w:r w:rsidR="006E477B">
        <w:rPr>
          <w:lang w:val="hu-HU"/>
        </w:rPr>
        <w:t>z elkülönítetten gyűjtött papír, műanyag és fém csomagolási</w:t>
      </w:r>
      <w:r>
        <w:rPr>
          <w:lang w:val="hu-HU"/>
        </w:rPr>
        <w:t xml:space="preserve"> hulladékot az ügyfél a</w:t>
      </w:r>
      <w:r w:rsidR="006E477B">
        <w:rPr>
          <w:lang w:val="hu-HU"/>
        </w:rPr>
        <w:t xml:space="preserve"> részére átadott, a Heves Megyei Regionális Hulladékgazdálkodási Társulás tulajdonában lévő, vagy az ügyfél saját tulajdonában</w:t>
      </w:r>
      <w:r w:rsidR="00384598">
        <w:rPr>
          <w:lang w:val="hu-HU"/>
        </w:rPr>
        <w:t xml:space="preserve"> vagy használatában</w:t>
      </w:r>
      <w:r w:rsidR="006E477B">
        <w:rPr>
          <w:lang w:val="hu-HU"/>
        </w:rPr>
        <w:t xml:space="preserve"> lévő</w:t>
      </w:r>
      <w:r>
        <w:rPr>
          <w:lang w:val="hu-HU"/>
        </w:rPr>
        <w:t>, MSZ840 szabványú</w:t>
      </w:r>
      <w:r w:rsidR="006E477B">
        <w:rPr>
          <w:lang w:val="hu-HU"/>
        </w:rPr>
        <w:t>, egyértelműen megkülönböztethető</w:t>
      </w:r>
      <w:r>
        <w:rPr>
          <w:lang w:val="hu-HU"/>
        </w:rPr>
        <w:t xml:space="preserve"> </w:t>
      </w:r>
      <w:r w:rsidR="006E477B">
        <w:rPr>
          <w:lang w:val="hu-HU"/>
        </w:rPr>
        <w:t xml:space="preserve">(pl. sárga szín, matrica) </w:t>
      </w:r>
      <w:r>
        <w:rPr>
          <w:lang w:val="hu-HU"/>
        </w:rPr>
        <w:t xml:space="preserve">hulladékgyűjtő </w:t>
      </w:r>
      <w:proofErr w:type="spellStart"/>
      <w:r>
        <w:rPr>
          <w:lang w:val="hu-HU"/>
        </w:rPr>
        <w:t>edényzetben</w:t>
      </w:r>
      <w:proofErr w:type="spellEnd"/>
      <w:r>
        <w:rPr>
          <w:lang w:val="hu-HU"/>
        </w:rPr>
        <w:t>, vagy a Területi Szolgáltató által jóváhagyott zsákban helyezi ki begyűjtésre.</w:t>
      </w:r>
    </w:p>
    <w:p w14:paraId="691A9950" w14:textId="22D57C45" w:rsidR="00EE0519" w:rsidRDefault="009F10E2" w:rsidP="00EE0519">
      <w:pPr>
        <w:jc w:val="both"/>
        <w:rPr>
          <w:lang w:val="hu-HU"/>
        </w:rPr>
      </w:pPr>
      <w:r>
        <w:rPr>
          <w:lang w:val="hu-HU"/>
        </w:rPr>
        <w:t xml:space="preserve">Az elkülönítetten gyűjtött papír, műanyag és fém csomagolási hulladékot </w:t>
      </w:r>
      <w:r w:rsidR="00EE0519">
        <w:rPr>
          <w:lang w:val="hu-HU"/>
        </w:rPr>
        <w:t xml:space="preserve">ügyfél az alábbi méretű hulladékgyűjtő </w:t>
      </w:r>
      <w:proofErr w:type="spellStart"/>
      <w:r w:rsidR="00EE0519">
        <w:rPr>
          <w:lang w:val="hu-HU"/>
        </w:rPr>
        <w:t>edényzetekben</w:t>
      </w:r>
      <w:proofErr w:type="spellEnd"/>
      <w:r w:rsidR="00EE0519">
        <w:rPr>
          <w:lang w:val="hu-HU"/>
        </w:rPr>
        <w:t xml:space="preserve"> helyezheti ki begyűjtésre:</w:t>
      </w:r>
    </w:p>
    <w:p w14:paraId="730A2492" w14:textId="4F9F5E59" w:rsidR="00EE0519" w:rsidRDefault="00EE0519" w:rsidP="00EE0519">
      <w:pPr>
        <w:jc w:val="both"/>
        <w:rPr>
          <w:lang w:val="hu-HU"/>
        </w:rPr>
      </w:pPr>
      <w:r w:rsidRPr="00EE0519">
        <w:rPr>
          <w:lang w:val="hu-HU"/>
        </w:rPr>
        <w:t>60 liter, 80 liter, 120 liter, 240 liter, 660 liter, 1100 liter</w:t>
      </w:r>
    </w:p>
    <w:p w14:paraId="6729E235" w14:textId="4B181A5F" w:rsidR="00EE0519" w:rsidRDefault="009F10E2" w:rsidP="00EE0519">
      <w:pPr>
        <w:jc w:val="both"/>
        <w:rPr>
          <w:lang w:val="hu-HU"/>
        </w:rPr>
      </w:pPr>
      <w:r>
        <w:rPr>
          <w:lang w:val="hu-HU"/>
        </w:rPr>
        <w:t xml:space="preserve">Az elkülönítetten gyűjtött papír, műanyag és fém csomagolási hulladék gyűjtésére </w:t>
      </w:r>
      <w:r w:rsidR="00EE0519">
        <w:rPr>
          <w:lang w:val="hu-HU"/>
        </w:rPr>
        <w:t xml:space="preserve">szolgáló </w:t>
      </w:r>
      <w:proofErr w:type="spellStart"/>
      <w:r w:rsidR="00EE0519">
        <w:rPr>
          <w:lang w:val="hu-HU"/>
        </w:rPr>
        <w:t>edényzetet</w:t>
      </w:r>
      <w:proofErr w:type="spellEnd"/>
      <w:r w:rsidR="00EE0519">
        <w:rPr>
          <w:lang w:val="hu-HU"/>
        </w:rPr>
        <w:t xml:space="preserve"> vagy zsákot ügyfél csak az </w:t>
      </w:r>
      <w:proofErr w:type="spellStart"/>
      <w:r w:rsidR="00EE0519">
        <w:rPr>
          <w:lang w:val="hu-HU"/>
        </w:rPr>
        <w:t>edényzeten</w:t>
      </w:r>
      <w:proofErr w:type="spellEnd"/>
      <w:r w:rsidR="00EE0519">
        <w:rPr>
          <w:lang w:val="hu-HU"/>
        </w:rPr>
        <w:t xml:space="preserve"> vagy a zsákon megjelölt maximális teherbírás mértékéig töltheti meg. Amennyiben az </w:t>
      </w:r>
      <w:proofErr w:type="spellStart"/>
      <w:r w:rsidR="00EE0519">
        <w:rPr>
          <w:lang w:val="hu-HU"/>
        </w:rPr>
        <w:t>edényzethez</w:t>
      </w:r>
      <w:proofErr w:type="spellEnd"/>
      <w:r w:rsidR="00EE0519">
        <w:rPr>
          <w:lang w:val="hu-HU"/>
        </w:rPr>
        <w:t xml:space="preserve"> vagy a zsákhoz nem érhető el információ a maximális teherbírásról, úgy az alábbi értékeket kell alkalmazni:</w:t>
      </w:r>
    </w:p>
    <w:p w14:paraId="4CD7FE1E" w14:textId="77777777" w:rsidR="00EE0519" w:rsidRDefault="00EE0519" w:rsidP="00EE0519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60 liter: 20 kg</w:t>
      </w:r>
    </w:p>
    <w:p w14:paraId="153CB033" w14:textId="77777777" w:rsidR="00EE0519" w:rsidRDefault="00EE0519" w:rsidP="00EE0519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80 liter: 25 kg</w:t>
      </w:r>
    </w:p>
    <w:p w14:paraId="54404C33" w14:textId="77777777" w:rsidR="00EE0519" w:rsidRDefault="00EE0519" w:rsidP="00EE0519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120 liter: 30 kg</w:t>
      </w:r>
    </w:p>
    <w:p w14:paraId="41B818CB" w14:textId="77777777" w:rsidR="00EE0519" w:rsidRDefault="00EE0519" w:rsidP="00EE0519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240 liter: 50 kg</w:t>
      </w:r>
    </w:p>
    <w:p w14:paraId="4E9BFC89" w14:textId="77777777" w:rsidR="00EE0519" w:rsidRDefault="00EE0519" w:rsidP="00EE0519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660 liter: 150 kg</w:t>
      </w:r>
    </w:p>
    <w:p w14:paraId="5133F6F9" w14:textId="77777777" w:rsidR="00EE0519" w:rsidRDefault="00EE0519" w:rsidP="00EE0519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1100 liter: 250 kg</w:t>
      </w:r>
    </w:p>
    <w:p w14:paraId="1FE0BB8B" w14:textId="10013271" w:rsidR="009F10E2" w:rsidRPr="009F10E2" w:rsidRDefault="009F10E2" w:rsidP="009F10E2">
      <w:pPr>
        <w:jc w:val="both"/>
        <w:rPr>
          <w:lang w:val="hu-HU"/>
        </w:rPr>
      </w:pPr>
      <w:r>
        <w:rPr>
          <w:lang w:val="hu-HU"/>
        </w:rPr>
        <w:t xml:space="preserve">Ügyfél törekszik rá, hogy </w:t>
      </w:r>
      <w:r w:rsidR="00B926D8">
        <w:rPr>
          <w:lang w:val="hu-HU"/>
        </w:rPr>
        <w:t xml:space="preserve">az elkülönítetten gyűjtött papír, műanyag és fém csomagolási hulladékot a lehetőségekhez mérten idegen anyagoktól (pl. ételmaradék) mentesen helyezi a </w:t>
      </w:r>
      <w:proofErr w:type="spellStart"/>
      <w:r w:rsidR="00B926D8">
        <w:rPr>
          <w:lang w:val="hu-HU"/>
        </w:rPr>
        <w:t>gyűjtőedényzetbe</w:t>
      </w:r>
      <w:proofErr w:type="spellEnd"/>
      <w:r w:rsidR="00B926D8">
        <w:rPr>
          <w:lang w:val="hu-HU"/>
        </w:rPr>
        <w:t xml:space="preserve"> vagy zsákba.</w:t>
      </w:r>
    </w:p>
    <w:p w14:paraId="668AABD3" w14:textId="2C768E6A" w:rsidR="009F10E2" w:rsidRDefault="009F10E2" w:rsidP="009F10E2">
      <w:pPr>
        <w:pStyle w:val="Cmsor3"/>
        <w:numPr>
          <w:ilvl w:val="2"/>
          <w:numId w:val="1"/>
        </w:numPr>
        <w:rPr>
          <w:lang w:val="hu-HU"/>
        </w:rPr>
      </w:pPr>
      <w:bookmarkStart w:id="11" w:name="_Toc143525291"/>
      <w:r>
        <w:rPr>
          <w:lang w:val="hu-HU"/>
        </w:rPr>
        <w:t>Üveg csomagolási hulladék</w:t>
      </w:r>
      <w:bookmarkEnd w:id="11"/>
    </w:p>
    <w:p w14:paraId="70EEA0C8" w14:textId="7B173006" w:rsidR="009F10E2" w:rsidRDefault="009F10E2" w:rsidP="009F10E2">
      <w:pPr>
        <w:jc w:val="both"/>
        <w:rPr>
          <w:lang w:val="hu-HU"/>
        </w:rPr>
      </w:pPr>
      <w:r>
        <w:rPr>
          <w:lang w:val="hu-HU"/>
        </w:rPr>
        <w:t>Az elkülönítetten gyűjtött üveg csomagolási hulladékot Területi Szolgáltató gyűjtőpontos gyűjtési rendszerben szállítja el négyhetente egyszer.</w:t>
      </w:r>
    </w:p>
    <w:p w14:paraId="0E1ECF66" w14:textId="655A83FA" w:rsidR="009F10E2" w:rsidRDefault="009F10E2" w:rsidP="009F10E2">
      <w:pPr>
        <w:jc w:val="both"/>
        <w:rPr>
          <w:lang w:val="hu-HU"/>
        </w:rPr>
      </w:pPr>
      <w:r>
        <w:rPr>
          <w:lang w:val="hu-HU"/>
        </w:rPr>
        <w:lastRenderedPageBreak/>
        <w:t xml:space="preserve">Az elkülönítetten gyűjtött üveg csomagolási hulladékot az ügyfél a Területi Szolgáltató területén kihelyezett, 120, 240, 660 vagy 1100 liter űrmértékű, egyértelműen megkülönböztetett </w:t>
      </w:r>
      <w:proofErr w:type="spellStart"/>
      <w:r>
        <w:rPr>
          <w:lang w:val="hu-HU"/>
        </w:rPr>
        <w:t>edényzetbe</w:t>
      </w:r>
      <w:proofErr w:type="spellEnd"/>
      <w:r>
        <w:rPr>
          <w:lang w:val="hu-HU"/>
        </w:rPr>
        <w:t xml:space="preserve"> helyezheti. A gyűjtőpontok helyszínét Területi Szolgáltató honlapján és ügyfélszolgálati irodájában elérhetővé teszi.</w:t>
      </w:r>
      <w:r w:rsidR="007965E8">
        <w:rPr>
          <w:lang w:val="hu-HU"/>
        </w:rPr>
        <w:t xml:space="preserve"> A gyűjtőpontok elérhetősége</w:t>
      </w:r>
      <w:r w:rsidR="008345EC">
        <w:rPr>
          <w:lang w:val="hu-HU"/>
        </w:rPr>
        <w:t xml:space="preserve"> legalább </w:t>
      </w:r>
      <w:r w:rsidR="00452795">
        <w:rPr>
          <w:lang w:val="hu-HU"/>
        </w:rPr>
        <w:t>munkanapokon</w:t>
      </w:r>
      <w:r w:rsidR="008345EC">
        <w:rPr>
          <w:lang w:val="hu-HU"/>
        </w:rPr>
        <w:t xml:space="preserve"> reggel 8 és délután 4 óra közötti, az ezen felüli elérhetőség</w:t>
      </w:r>
      <w:r w:rsidR="007965E8">
        <w:rPr>
          <w:lang w:val="hu-HU"/>
        </w:rPr>
        <w:t xml:space="preserve"> helyszínenként változhat, melyről az ügyfé</w:t>
      </w:r>
      <w:r w:rsidR="008345EC">
        <w:rPr>
          <w:lang w:val="hu-HU"/>
        </w:rPr>
        <w:t>l kérésére Területi Szolgáltató tájékoztatást ad.</w:t>
      </w:r>
    </w:p>
    <w:p w14:paraId="73DA1120" w14:textId="2630F3B4" w:rsidR="009F10E2" w:rsidRDefault="009F10E2" w:rsidP="009F10E2">
      <w:pPr>
        <w:jc w:val="both"/>
        <w:rPr>
          <w:lang w:val="hu-HU"/>
        </w:rPr>
      </w:pPr>
      <w:r>
        <w:rPr>
          <w:lang w:val="hu-HU"/>
        </w:rPr>
        <w:t>A gyűjtőponttól eltérő begyűjtési helyszínt Területi Szolgáltató kapacitásától függően, az ügyféllel kötött kétoldalú megállapodásban ajánlhat fel.</w:t>
      </w:r>
    </w:p>
    <w:p w14:paraId="5C4B5210" w14:textId="455BAA7D" w:rsidR="00B926D8" w:rsidRPr="009F10E2" w:rsidRDefault="00B926D8" w:rsidP="00B926D8">
      <w:pPr>
        <w:jc w:val="both"/>
        <w:rPr>
          <w:lang w:val="hu-HU"/>
        </w:rPr>
      </w:pPr>
      <w:r>
        <w:rPr>
          <w:lang w:val="hu-HU"/>
        </w:rPr>
        <w:t xml:space="preserve">Ügyfél törekszik rá, hogy az elkülönítetten gyűjtött üveg csomagolási hulladékot a lehetőségekhez mérten idegen anyagoktól (pl. ételmaradék) mentesen helyezi a </w:t>
      </w:r>
      <w:proofErr w:type="spellStart"/>
      <w:r>
        <w:rPr>
          <w:lang w:val="hu-HU"/>
        </w:rPr>
        <w:t>gyűjtőedényzetbe</w:t>
      </w:r>
      <w:proofErr w:type="spellEnd"/>
      <w:r>
        <w:rPr>
          <w:lang w:val="hu-HU"/>
        </w:rPr>
        <w:t>.</w:t>
      </w:r>
    </w:p>
    <w:p w14:paraId="2C09364D" w14:textId="261673BE" w:rsidR="00C72783" w:rsidRDefault="00C72783" w:rsidP="00C72783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12" w:name="_Toc143525292"/>
      <w:r>
        <w:rPr>
          <w:lang w:val="hu-HU"/>
        </w:rPr>
        <w:t>A lomhulladék gyűjtés</w:t>
      </w:r>
      <w:r w:rsidR="00D858E9">
        <w:rPr>
          <w:lang w:val="hu-HU"/>
        </w:rPr>
        <w:t>e</w:t>
      </w:r>
      <w:bookmarkEnd w:id="12"/>
    </w:p>
    <w:p w14:paraId="7874EDA7" w14:textId="408569E7" w:rsidR="00C72783" w:rsidRDefault="00C72783" w:rsidP="00C72783">
      <w:pPr>
        <w:jc w:val="both"/>
        <w:rPr>
          <w:lang w:val="hu-HU"/>
        </w:rPr>
      </w:pPr>
      <w:r>
        <w:rPr>
          <w:lang w:val="hu-HU"/>
        </w:rPr>
        <w:t>A természetes és nem természetes személy közszolgáltatási résztevékenység körébe tartozó lomhulladékát a Területi Szolgáltató házhoz menő gyűjtési rendszer keretében szállítja el. A lomhulladék begyűjtésére Területi Szolgáltató naptári évenként legalább egy alkalmat biztosít minden ügyfél számára.</w:t>
      </w:r>
    </w:p>
    <w:p w14:paraId="00509D98" w14:textId="758C481C" w:rsidR="00C72783" w:rsidRDefault="00C72783" w:rsidP="00C72783">
      <w:pPr>
        <w:jc w:val="both"/>
        <w:rPr>
          <w:lang w:val="hu-HU"/>
        </w:rPr>
      </w:pPr>
      <w:r>
        <w:rPr>
          <w:lang w:val="hu-HU"/>
        </w:rPr>
        <w:t>Ügyfél lomtalanítási igényét írásban vagy személyesen jelezheti az ügyfélszolgálati elérhetőségeken. Az igény beérkezését követően Területi Szolgáltató 60 napon belül elszállítja a lomhulladékot. Területi Szolgáltató a lomtalanítás előtt legkésőbb 7 nappal korábban értesíti ügyfelet a megadott elérhetőség(</w:t>
      </w:r>
      <w:proofErr w:type="spellStart"/>
      <w:r>
        <w:rPr>
          <w:lang w:val="hu-HU"/>
        </w:rPr>
        <w:t>ek</w:t>
      </w:r>
      <w:proofErr w:type="spellEnd"/>
      <w:r>
        <w:rPr>
          <w:lang w:val="hu-HU"/>
        </w:rPr>
        <w:t>)</w:t>
      </w:r>
      <w:proofErr w:type="spellStart"/>
      <w:r>
        <w:rPr>
          <w:lang w:val="hu-HU"/>
        </w:rPr>
        <w:t>en</w:t>
      </w:r>
      <w:proofErr w:type="spellEnd"/>
      <w:r>
        <w:rPr>
          <w:lang w:val="hu-HU"/>
        </w:rPr>
        <w:t xml:space="preserve"> a lomtalanítás napjáról.</w:t>
      </w:r>
    </w:p>
    <w:p w14:paraId="11B12B06" w14:textId="091AD05B" w:rsidR="00C72783" w:rsidRDefault="00C72783" w:rsidP="00C72783">
      <w:pPr>
        <w:jc w:val="both"/>
        <w:rPr>
          <w:lang w:val="hu-HU"/>
        </w:rPr>
      </w:pPr>
      <w:r>
        <w:rPr>
          <w:lang w:val="hu-HU"/>
        </w:rPr>
        <w:t>Területi Szolgáltató</w:t>
      </w:r>
      <w:r w:rsidR="005A1901">
        <w:rPr>
          <w:lang w:val="hu-HU"/>
        </w:rPr>
        <w:t xml:space="preserve"> kapacitásától</w:t>
      </w:r>
      <w:r w:rsidR="00452795">
        <w:rPr>
          <w:lang w:val="hu-HU"/>
        </w:rPr>
        <w:t xml:space="preserve"> függően</w:t>
      </w:r>
      <w:r w:rsidR="005A1901">
        <w:rPr>
          <w:lang w:val="hu-HU"/>
        </w:rPr>
        <w:t xml:space="preserve"> települési lomtalanítást is felajánlhat az ügyfeleknek. A települési lomtalanításhoz a helyileg illetékes önkormányzat beleegyezése szükséges. A települési lomtalanítás során az adott település minden ingatlanhasználója kihelyezheti lomhulladékát begyűjtésre</w:t>
      </w:r>
      <w:r w:rsidR="0026048C">
        <w:rPr>
          <w:lang w:val="hu-HU"/>
        </w:rPr>
        <w:t xml:space="preserve"> az ingatlana elé</w:t>
      </w:r>
      <w:r w:rsidR="005A1901">
        <w:rPr>
          <w:lang w:val="hu-HU"/>
        </w:rPr>
        <w:t>. A települési lomtalanítás dátumát Területi Szolgáltató a hulladékszállítási naptárban, vagy honlapján és ügyfélszolgálatán teszi közzé, illetve a helyileg illetékes önkormányzatot értesíti a lomtalanítás előtt legkésőbb 14 nappal.</w:t>
      </w:r>
    </w:p>
    <w:p w14:paraId="563C44AC" w14:textId="422580E5" w:rsidR="00C72783" w:rsidRDefault="00C72783" w:rsidP="00C72783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5A1901">
        <w:rPr>
          <w:lang w:val="hu-HU"/>
        </w:rPr>
        <w:t>lom</w:t>
      </w:r>
      <w:r>
        <w:rPr>
          <w:lang w:val="hu-HU"/>
        </w:rPr>
        <w:t>hulladék</w:t>
      </w:r>
      <w:r w:rsidR="005A1901">
        <w:rPr>
          <w:lang w:val="hu-HU"/>
        </w:rPr>
        <w:t xml:space="preserve"> begyűjtéséhez Területi Szolgáltató konténert nem biztosít</w:t>
      </w:r>
      <w:r w:rsidR="00384598">
        <w:rPr>
          <w:lang w:val="hu-HU"/>
        </w:rPr>
        <w:t xml:space="preserve">, de </w:t>
      </w:r>
      <w:r w:rsidR="005A1901">
        <w:rPr>
          <w:lang w:val="hu-HU"/>
        </w:rPr>
        <w:t xml:space="preserve">Területi Szolgáltató </w:t>
      </w:r>
      <w:r w:rsidR="00384598">
        <w:rPr>
          <w:lang w:val="hu-HU"/>
        </w:rPr>
        <w:t xml:space="preserve">a </w:t>
      </w:r>
      <w:r w:rsidR="005A1901">
        <w:rPr>
          <w:lang w:val="hu-HU"/>
        </w:rPr>
        <w:t>kapacitásától függően, az ügyféllel kötött kétoldalú megállapodás alapján ettől eltérhet.</w:t>
      </w:r>
    </w:p>
    <w:p w14:paraId="6474EA4F" w14:textId="110E3520" w:rsidR="005A1901" w:rsidRDefault="005A1901" w:rsidP="005A1901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13" w:name="_Toc143525293"/>
      <w:r>
        <w:rPr>
          <w:lang w:val="hu-HU"/>
        </w:rPr>
        <w:t>A</w:t>
      </w:r>
      <w:r w:rsidR="00452795">
        <w:rPr>
          <w:lang w:val="hu-HU"/>
        </w:rPr>
        <w:t xml:space="preserve"> zöld</w:t>
      </w:r>
      <w:r>
        <w:rPr>
          <w:lang w:val="hu-HU"/>
        </w:rPr>
        <w:t>hulladék gyűjtés</w:t>
      </w:r>
      <w:r w:rsidR="00D858E9">
        <w:rPr>
          <w:lang w:val="hu-HU"/>
        </w:rPr>
        <w:t>e</w:t>
      </w:r>
      <w:bookmarkEnd w:id="13"/>
    </w:p>
    <w:p w14:paraId="744DC604" w14:textId="50901CC4" w:rsidR="005A1901" w:rsidRDefault="005A1901" w:rsidP="005A1901">
      <w:pPr>
        <w:jc w:val="both"/>
        <w:rPr>
          <w:lang w:val="hu-HU"/>
        </w:rPr>
      </w:pPr>
      <w:r>
        <w:rPr>
          <w:lang w:val="hu-HU"/>
        </w:rPr>
        <w:t>A természetes és nem természetes személy közszolgáltatási résztevékenység körébe tartozó</w:t>
      </w:r>
      <w:r w:rsidR="00452795">
        <w:rPr>
          <w:lang w:val="hu-HU"/>
        </w:rPr>
        <w:t>,</w:t>
      </w:r>
      <w:r>
        <w:rPr>
          <w:lang w:val="hu-HU"/>
        </w:rPr>
        <w:t xml:space="preserve"> </w:t>
      </w:r>
      <w:r w:rsidR="003E6032">
        <w:rPr>
          <w:lang w:val="hu-HU"/>
        </w:rPr>
        <w:t xml:space="preserve">elkülönítetten gyűjtött </w:t>
      </w:r>
      <w:r w:rsidR="00452795">
        <w:rPr>
          <w:lang w:val="hu-HU"/>
        </w:rPr>
        <w:t>zöld</w:t>
      </w:r>
      <w:r>
        <w:rPr>
          <w:lang w:val="hu-HU"/>
        </w:rPr>
        <w:t>hulladékát a Területi Szolgáltató házhoz menő gyűjtési rendszer keretében szállítja el. A</w:t>
      </w:r>
      <w:r w:rsidR="00452795">
        <w:rPr>
          <w:lang w:val="hu-HU"/>
        </w:rPr>
        <w:t xml:space="preserve"> zöld</w:t>
      </w:r>
      <w:r w:rsidR="00821D12">
        <w:rPr>
          <w:lang w:val="hu-HU"/>
        </w:rPr>
        <w:t>hulladék</w:t>
      </w:r>
      <w:r>
        <w:rPr>
          <w:lang w:val="hu-HU"/>
        </w:rPr>
        <w:t xml:space="preserve"> gyűjtésére Területi Szolgáltató </w:t>
      </w:r>
      <w:r w:rsidR="00821D12">
        <w:rPr>
          <w:lang w:val="hu-HU"/>
        </w:rPr>
        <w:t>márciustól négyhetente egyszer, összesen legalább tíz alkalommal, valamint januárban két alkalommal</w:t>
      </w:r>
      <w:r>
        <w:rPr>
          <w:lang w:val="hu-HU"/>
        </w:rPr>
        <w:t xml:space="preserve"> áll rendelkezésre. Ettől sűrűbb gyűjtési gyakoriságot a Területi Szolgáltató kapacitásától függően, az ügyféllel kötött kétoldalú megállapodásban ajánlhat fel.</w:t>
      </w:r>
    </w:p>
    <w:p w14:paraId="6A1F28F2" w14:textId="1B9941C3" w:rsidR="005A1901" w:rsidRDefault="00821D12" w:rsidP="005A1901">
      <w:pPr>
        <w:jc w:val="both"/>
        <w:rPr>
          <w:lang w:val="hu-HU"/>
        </w:rPr>
      </w:pPr>
      <w:r>
        <w:rPr>
          <w:lang w:val="hu-HU"/>
        </w:rPr>
        <w:t>A</w:t>
      </w:r>
      <w:r w:rsidR="00452795">
        <w:rPr>
          <w:lang w:val="hu-HU"/>
        </w:rPr>
        <w:t xml:space="preserve"> zöld</w:t>
      </w:r>
      <w:r>
        <w:rPr>
          <w:lang w:val="hu-HU"/>
        </w:rPr>
        <w:t xml:space="preserve">hulladékot </w:t>
      </w:r>
      <w:r w:rsidR="005A1901">
        <w:rPr>
          <w:lang w:val="hu-HU"/>
        </w:rPr>
        <w:t>az ügyfél a</w:t>
      </w:r>
      <w:r>
        <w:rPr>
          <w:lang w:val="hu-HU"/>
        </w:rPr>
        <w:t xml:space="preserve"> saját tulajdonú zsákjában vagy egyéb, a hulladék gyűjtésére alkalmas és a begyűjtést végző rakodók által könnyen mozgatható tárolóban, vagy egyértelműen megkülönböztetett, </w:t>
      </w:r>
      <w:r w:rsidR="005A1901">
        <w:rPr>
          <w:lang w:val="hu-HU"/>
        </w:rPr>
        <w:t xml:space="preserve">MSZ840 szabványú hulladékgyűjtő </w:t>
      </w:r>
      <w:proofErr w:type="spellStart"/>
      <w:r w:rsidR="005A1901">
        <w:rPr>
          <w:lang w:val="hu-HU"/>
        </w:rPr>
        <w:t>edényzetben</w:t>
      </w:r>
      <w:proofErr w:type="spellEnd"/>
      <w:r>
        <w:rPr>
          <w:lang w:val="hu-HU"/>
        </w:rPr>
        <w:t xml:space="preserve"> </w:t>
      </w:r>
      <w:r w:rsidR="005A1901">
        <w:rPr>
          <w:lang w:val="hu-HU"/>
        </w:rPr>
        <w:t>helyezi ki begyűjtésre.</w:t>
      </w:r>
      <w:r>
        <w:rPr>
          <w:lang w:val="hu-HU"/>
        </w:rPr>
        <w:t xml:space="preserve"> Amennyiben ügyfél zsákban helyezi ki a </w:t>
      </w:r>
      <w:r w:rsidR="00452795">
        <w:rPr>
          <w:lang w:val="hu-HU"/>
        </w:rPr>
        <w:t>zöld</w:t>
      </w:r>
      <w:r>
        <w:rPr>
          <w:lang w:val="hu-HU"/>
        </w:rPr>
        <w:t xml:space="preserve">hulladékot, úgy a lehetőségekhez mérten annak nyílását nem köti be. Területi Szolgáltató munkatársai a kihelyezett zsákból vagy egyéb tárolóból, </w:t>
      </w:r>
      <w:proofErr w:type="spellStart"/>
      <w:r>
        <w:rPr>
          <w:lang w:val="hu-HU"/>
        </w:rPr>
        <w:t>edényzetből</w:t>
      </w:r>
      <w:proofErr w:type="spellEnd"/>
      <w:r>
        <w:rPr>
          <w:lang w:val="hu-HU"/>
        </w:rPr>
        <w:t xml:space="preserve"> a hulladékot kiürítik, majd az üres zsákot, tárolót vagy </w:t>
      </w:r>
      <w:proofErr w:type="spellStart"/>
      <w:r>
        <w:rPr>
          <w:lang w:val="hu-HU"/>
        </w:rPr>
        <w:t>edényzetet</w:t>
      </w:r>
      <w:proofErr w:type="spellEnd"/>
      <w:r>
        <w:rPr>
          <w:lang w:val="hu-HU"/>
        </w:rPr>
        <w:t xml:space="preserve"> az ingatlan előtt</w:t>
      </w:r>
      <w:r w:rsidR="00384598">
        <w:rPr>
          <w:lang w:val="hu-HU"/>
        </w:rPr>
        <w:t xml:space="preserve"> vagy az ingatlan területén</w:t>
      </w:r>
      <w:r>
        <w:rPr>
          <w:lang w:val="hu-HU"/>
        </w:rPr>
        <w:t xml:space="preserve"> hagyják. Ha ügyfél bekötött zsákban helyezi ki a </w:t>
      </w:r>
      <w:r w:rsidR="00452795">
        <w:rPr>
          <w:lang w:val="hu-HU"/>
        </w:rPr>
        <w:t>zöld</w:t>
      </w:r>
      <w:r>
        <w:rPr>
          <w:lang w:val="hu-HU"/>
        </w:rPr>
        <w:t>hulladékot, Területi Szolgáltató fenntartja a jogot, hogy azt felvágja vagy széttépje az ürítés megkönnyítése érdekében.</w:t>
      </w:r>
    </w:p>
    <w:p w14:paraId="7A7C3D4A" w14:textId="50494607" w:rsidR="00821D12" w:rsidRDefault="00821D12" w:rsidP="005A1901">
      <w:pPr>
        <w:jc w:val="both"/>
        <w:rPr>
          <w:lang w:val="hu-HU"/>
        </w:rPr>
      </w:pPr>
      <w:r>
        <w:rPr>
          <w:lang w:val="hu-HU"/>
        </w:rPr>
        <w:lastRenderedPageBreak/>
        <w:t>A</w:t>
      </w:r>
      <w:r w:rsidR="00E819AF">
        <w:rPr>
          <w:lang w:val="hu-HU"/>
        </w:rPr>
        <w:t>z ügyfél</w:t>
      </w:r>
      <w:r w:rsidR="00452795">
        <w:rPr>
          <w:lang w:val="hu-HU"/>
        </w:rPr>
        <w:t xml:space="preserve"> </w:t>
      </w:r>
      <w:r w:rsidR="00943A53">
        <w:rPr>
          <w:lang w:val="hu-HU"/>
        </w:rPr>
        <w:t xml:space="preserve">a </w:t>
      </w:r>
      <w:r w:rsidR="00452795">
        <w:rPr>
          <w:lang w:val="hu-HU"/>
        </w:rPr>
        <w:t>zöld</w:t>
      </w:r>
      <w:r>
        <w:rPr>
          <w:lang w:val="hu-HU"/>
        </w:rPr>
        <w:t>hulladékon belül a fásszárú növények legfeljebb 6 cm átmérőjű és legfeljebb 1 m hosszú ágait, gallyait kötegelve helyezheti ki begyűjtésre.</w:t>
      </w:r>
    </w:p>
    <w:p w14:paraId="4A11AFD3" w14:textId="50818A1C" w:rsidR="005A1901" w:rsidRPr="00165469" w:rsidRDefault="005A1901" w:rsidP="00165469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E819AF">
        <w:rPr>
          <w:lang w:val="hu-HU"/>
        </w:rPr>
        <w:t>zöld</w:t>
      </w:r>
      <w:r w:rsidR="00165469">
        <w:rPr>
          <w:lang w:val="hu-HU"/>
        </w:rPr>
        <w:t>hulladék közé ügyfél nem helyezhet többek között állati maradványt és élelmiszer-hulladékot.</w:t>
      </w:r>
    </w:p>
    <w:p w14:paraId="383FEFD5" w14:textId="5255F27C" w:rsidR="007965E8" w:rsidRDefault="007965E8" w:rsidP="007965E8">
      <w:pPr>
        <w:pStyle w:val="Cmsor1"/>
        <w:numPr>
          <w:ilvl w:val="0"/>
          <w:numId w:val="1"/>
        </w:numPr>
        <w:jc w:val="both"/>
        <w:rPr>
          <w:lang w:val="hu-HU"/>
        </w:rPr>
      </w:pPr>
      <w:bookmarkStart w:id="14" w:name="_Toc143525294"/>
      <w:r>
        <w:rPr>
          <w:lang w:val="hu-HU"/>
        </w:rPr>
        <w:t>Egyes ingatlanhasználókra vonatkozó speciális szabályok</w:t>
      </w:r>
      <w:bookmarkEnd w:id="14"/>
    </w:p>
    <w:p w14:paraId="07E08604" w14:textId="10F72888" w:rsidR="007965E8" w:rsidRDefault="007965E8" w:rsidP="007965E8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15" w:name="_Toc143525295"/>
      <w:r>
        <w:rPr>
          <w:lang w:val="hu-HU"/>
        </w:rPr>
        <w:t>Az üdülőingatlanokra vonatkozó speciális szabályok</w:t>
      </w:r>
      <w:bookmarkEnd w:id="15"/>
    </w:p>
    <w:p w14:paraId="4B81ED71" w14:textId="3451DFD8" w:rsidR="007965E8" w:rsidRDefault="007965E8" w:rsidP="007965E8">
      <w:pPr>
        <w:jc w:val="both"/>
        <w:rPr>
          <w:lang w:val="hu-HU"/>
        </w:rPr>
      </w:pPr>
      <w:r>
        <w:rPr>
          <w:lang w:val="hu-HU"/>
        </w:rPr>
        <w:t xml:space="preserve">A természetes </w:t>
      </w:r>
      <w:r w:rsidR="008345EC">
        <w:rPr>
          <w:lang w:val="hu-HU"/>
        </w:rPr>
        <w:t>személy ingatlanhasználó üdülőingatlanként is igénybe veheti a közszolgáltatást. Ennek feltétele, hogy tulajdoni lappal vagy helyi önkormányzati igazolással bizonyítsa Területi Szolgáltatónak, hogy az ingatlan csak időszakosan van használatban, ott hulladék ennek megfelelően keletkezik</w:t>
      </w:r>
      <w:r>
        <w:rPr>
          <w:lang w:val="hu-HU"/>
        </w:rPr>
        <w:t>.</w:t>
      </w:r>
      <w:r w:rsidR="008345EC">
        <w:rPr>
          <w:lang w:val="hu-HU"/>
        </w:rPr>
        <w:t xml:space="preserve"> Az üdülőingatlan után fizetendő közszolgáltatási díj fele a teljes éves közszolgáltatás díjának.</w:t>
      </w:r>
    </w:p>
    <w:p w14:paraId="6F14C2B1" w14:textId="688A3FAA" w:rsidR="000C29A2" w:rsidRDefault="008345EC" w:rsidP="007965E8">
      <w:pPr>
        <w:jc w:val="both"/>
        <w:rPr>
          <w:lang w:val="hu-HU"/>
        </w:rPr>
      </w:pPr>
      <w:r>
        <w:rPr>
          <w:lang w:val="hu-HU"/>
        </w:rPr>
        <w:t>Területi Szolgáltató az üdülőingatlant használó ügyfélnek a</w:t>
      </w:r>
      <w:r w:rsidR="00E71956">
        <w:rPr>
          <w:lang w:val="hu-HU"/>
        </w:rPr>
        <w:t xml:space="preserve"> szolgáltatást április 1-jétől szeptember 30-áig ajánlja fel és teljesíti. Ezen időtartamban Területi Szolgáltató az üdülőingatlan használójától a közszolgáltatás körébe tartozó </w:t>
      </w:r>
      <w:r w:rsidR="003240D1">
        <w:rPr>
          <w:lang w:val="hu-HU"/>
        </w:rPr>
        <w:t xml:space="preserve">hulladékok </w:t>
      </w:r>
      <w:r w:rsidR="003028BD">
        <w:rPr>
          <w:lang w:val="hu-HU"/>
        </w:rPr>
        <w:t>jelen Területi ÁSZF-ben felsorolt</w:t>
      </w:r>
      <w:r w:rsidR="003240D1">
        <w:rPr>
          <w:lang w:val="hu-HU"/>
        </w:rPr>
        <w:t xml:space="preserve"> frakció</w:t>
      </w:r>
      <w:r w:rsidR="003028BD">
        <w:rPr>
          <w:lang w:val="hu-HU"/>
        </w:rPr>
        <w:t>i</w:t>
      </w:r>
      <w:r w:rsidR="003240D1">
        <w:rPr>
          <w:lang w:val="hu-HU"/>
        </w:rPr>
        <w:t>t</w:t>
      </w:r>
      <w:r w:rsidR="00E71956">
        <w:rPr>
          <w:lang w:val="hu-HU"/>
        </w:rPr>
        <w:t xml:space="preserve"> </w:t>
      </w:r>
      <w:r w:rsidR="003028BD">
        <w:rPr>
          <w:lang w:val="hu-HU"/>
        </w:rPr>
        <w:t>gyűjti be</w:t>
      </w:r>
      <w:r w:rsidR="00E71956">
        <w:rPr>
          <w:lang w:val="hu-HU"/>
        </w:rPr>
        <w:t xml:space="preserve"> a hulladékszállítási naptárban megjelölt napokon.</w:t>
      </w:r>
    </w:p>
    <w:p w14:paraId="26E1CF27" w14:textId="63B98681" w:rsidR="003240D1" w:rsidRPr="003240D1" w:rsidRDefault="003240D1" w:rsidP="003240D1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16" w:name="_Toc143525296"/>
      <w:r>
        <w:rPr>
          <w:lang w:val="hu-HU"/>
        </w:rPr>
        <w:t>A társasházakra vonatkozó speciális szabályok</w:t>
      </w:r>
      <w:bookmarkEnd w:id="16"/>
    </w:p>
    <w:p w14:paraId="7E371876" w14:textId="149C3F8C" w:rsidR="00EE0519" w:rsidRDefault="003240D1" w:rsidP="00384598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384598">
        <w:rPr>
          <w:lang w:val="hu-HU"/>
        </w:rPr>
        <w:t>társasházak természetes személy lakói egy ügyfélként, közös képviselő útján veszik igénybe a közszolgáltatást.</w:t>
      </w:r>
      <w:r w:rsidR="00094798">
        <w:rPr>
          <w:lang w:val="hu-HU"/>
        </w:rPr>
        <w:t xml:space="preserve"> A társasház által a közszolgáltatásban igénybeveendő minimum űrmérték számítása:</w:t>
      </w:r>
    </w:p>
    <w:p w14:paraId="23D573F4" w14:textId="7DB1769C" w:rsidR="00094798" w:rsidRPr="00EE0519" w:rsidRDefault="004B489A" w:rsidP="00384598">
      <w:pPr>
        <w:jc w:val="both"/>
        <w:rPr>
          <w:lang w:val="hu-HU"/>
        </w:rPr>
      </w:pPr>
      <w:r>
        <w:rPr>
          <w:lang w:val="hu-HU"/>
        </w:rPr>
        <w:t>(</w:t>
      </w:r>
      <w:r w:rsidR="00094798">
        <w:rPr>
          <w:lang w:val="hu-HU"/>
        </w:rPr>
        <w:t>önálló lakóegységek darabszáma</w:t>
      </w:r>
      <w:r>
        <w:rPr>
          <w:lang w:val="hu-HU"/>
        </w:rPr>
        <w:t xml:space="preserve"> - kizárólag nem természetes személy által használt lakóegységek darabszáma)</w:t>
      </w:r>
      <w:r w:rsidR="00094798">
        <w:rPr>
          <w:lang w:val="hu-HU"/>
        </w:rPr>
        <w:t xml:space="preserve"> * 80 liter</w:t>
      </w:r>
    </w:p>
    <w:p w14:paraId="5D56D560" w14:textId="77777777" w:rsidR="00094798" w:rsidRDefault="00094798" w:rsidP="00EE2B30">
      <w:pPr>
        <w:jc w:val="both"/>
        <w:rPr>
          <w:lang w:val="hu-HU"/>
        </w:rPr>
      </w:pPr>
      <w:r>
        <w:rPr>
          <w:lang w:val="hu-HU"/>
        </w:rPr>
        <w:t xml:space="preserve">A minimum űrmértéket a társasház több hulladékgyűjtő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használatával is teljesítheti.</w:t>
      </w:r>
    </w:p>
    <w:p w14:paraId="76FC6578" w14:textId="77777777" w:rsidR="004B489A" w:rsidRDefault="00094798" w:rsidP="00EE2B30">
      <w:pPr>
        <w:jc w:val="both"/>
        <w:rPr>
          <w:lang w:val="hu-HU"/>
        </w:rPr>
      </w:pPr>
      <w:r>
        <w:rPr>
          <w:lang w:val="hu-HU"/>
        </w:rPr>
        <w:t>A társasház lomtalanítási igényének benyújtásakor a begyűjtendő lomhulladék becsült mennyiségét is meg kell adni (köbméterben).</w:t>
      </w:r>
    </w:p>
    <w:p w14:paraId="7A2B9E48" w14:textId="7FD349C5" w:rsidR="00A93D79" w:rsidRDefault="004B489A" w:rsidP="00EE2B30">
      <w:pPr>
        <w:jc w:val="both"/>
        <w:rPr>
          <w:lang w:val="hu-HU"/>
        </w:rPr>
      </w:pPr>
      <w:r>
        <w:rPr>
          <w:lang w:val="hu-HU"/>
        </w:rPr>
        <w:t>A társasházban székhellyel, fiókteleppel vagy telephellyel rendelkező nem természetes személy önállóan veszi igénybe a közszolgáltatást.</w:t>
      </w:r>
    </w:p>
    <w:p w14:paraId="1B1B2E32" w14:textId="171FB4CC" w:rsidR="00831A37" w:rsidRDefault="00831A37" w:rsidP="00831A37">
      <w:pPr>
        <w:pStyle w:val="Cmsor1"/>
        <w:numPr>
          <w:ilvl w:val="0"/>
          <w:numId w:val="1"/>
        </w:numPr>
        <w:jc w:val="both"/>
        <w:rPr>
          <w:lang w:val="hu-HU"/>
        </w:rPr>
      </w:pPr>
      <w:bookmarkStart w:id="17" w:name="_Toc143525297"/>
      <w:r>
        <w:rPr>
          <w:lang w:val="hu-HU"/>
        </w:rPr>
        <w:t>Ügyintézés</w:t>
      </w:r>
      <w:bookmarkEnd w:id="17"/>
    </w:p>
    <w:p w14:paraId="7CC7E504" w14:textId="0208ED1A" w:rsidR="00831A37" w:rsidRDefault="00831A37" w:rsidP="00831A37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18" w:name="_Toc143525298"/>
      <w:r>
        <w:rPr>
          <w:lang w:val="hu-HU"/>
        </w:rPr>
        <w:t>Ügyfélszolgálat</w:t>
      </w:r>
      <w:bookmarkEnd w:id="18"/>
    </w:p>
    <w:p w14:paraId="1BA9B4C7" w14:textId="198B074D" w:rsidR="00831A37" w:rsidRDefault="00831A37" w:rsidP="00831A37">
      <w:pPr>
        <w:jc w:val="both"/>
        <w:rPr>
          <w:lang w:val="hu-HU"/>
        </w:rPr>
      </w:pPr>
      <w:r>
        <w:rPr>
          <w:lang w:val="hu-HU"/>
        </w:rPr>
        <w:t>Az ügyfelek hulladékgazdálkodási közszolgáltatással kapcsolatos ügyeiket, panaszaikat a Területi Szolgáltató által működtetett ügyfélszolgálaton intézhetik személyesen, telefonon, e-mailben vagy postai úton az alábbi elérhetőségeken: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1A37" w14:paraId="20BFF555" w14:textId="77777777" w:rsidTr="00831A37">
        <w:tc>
          <w:tcPr>
            <w:tcW w:w="4531" w:type="dxa"/>
          </w:tcPr>
          <w:p w14:paraId="4A80E57B" w14:textId="3AAA79A2" w:rsidR="00831A37" w:rsidRPr="00831A37" w:rsidRDefault="00831A37" w:rsidP="00831A37">
            <w:pPr>
              <w:jc w:val="center"/>
              <w:rPr>
                <w:b/>
                <w:bCs/>
                <w:lang w:val="hu-HU"/>
              </w:rPr>
            </w:pPr>
            <w:r w:rsidRPr="00831A37">
              <w:rPr>
                <w:b/>
                <w:bCs/>
                <w:lang w:val="hu-HU"/>
              </w:rPr>
              <w:t>Cím</w:t>
            </w:r>
          </w:p>
        </w:tc>
        <w:tc>
          <w:tcPr>
            <w:tcW w:w="4531" w:type="dxa"/>
          </w:tcPr>
          <w:p w14:paraId="4DF08F8D" w14:textId="0CF5ED86" w:rsidR="00831A37" w:rsidRPr="00831A37" w:rsidRDefault="00831A37" w:rsidP="00831A37">
            <w:pPr>
              <w:jc w:val="center"/>
              <w:rPr>
                <w:b/>
                <w:bCs/>
                <w:lang w:val="hu-HU"/>
              </w:rPr>
            </w:pPr>
            <w:proofErr w:type="spellStart"/>
            <w:r w:rsidRPr="00831A37">
              <w:rPr>
                <w:b/>
                <w:bCs/>
                <w:lang w:val="hu-HU"/>
              </w:rPr>
              <w:t>Nyitvatartás</w:t>
            </w:r>
            <w:proofErr w:type="spellEnd"/>
          </w:p>
        </w:tc>
      </w:tr>
      <w:tr w:rsidR="00831A37" w14:paraId="6A99C124" w14:textId="77777777" w:rsidTr="00DC0315">
        <w:trPr>
          <w:trHeight w:val="664"/>
        </w:trPr>
        <w:tc>
          <w:tcPr>
            <w:tcW w:w="4531" w:type="dxa"/>
            <w:vAlign w:val="center"/>
          </w:tcPr>
          <w:p w14:paraId="6D68DAE3" w14:textId="56AA0D03" w:rsidR="00831A37" w:rsidRDefault="00831A37" w:rsidP="00DC0315">
            <w:pPr>
              <w:rPr>
                <w:lang w:val="hu-HU"/>
              </w:rPr>
            </w:pPr>
            <w:r>
              <w:rPr>
                <w:lang w:val="hu-HU"/>
              </w:rPr>
              <w:t>3250 Pétervására, Tisztisor utca 29.</w:t>
            </w:r>
          </w:p>
        </w:tc>
        <w:tc>
          <w:tcPr>
            <w:tcW w:w="4531" w:type="dxa"/>
            <w:vMerge w:val="restart"/>
          </w:tcPr>
          <w:p w14:paraId="6CDFF164" w14:textId="596BD138" w:rsidR="00831A37" w:rsidRDefault="00831A37" w:rsidP="00831A37">
            <w:pPr>
              <w:jc w:val="both"/>
              <w:rPr>
                <w:lang w:val="hu-HU"/>
              </w:rPr>
            </w:pPr>
            <w:proofErr w:type="gramStart"/>
            <w:r>
              <w:rPr>
                <w:lang w:val="hu-HU"/>
              </w:rPr>
              <w:t>hétfő:</w:t>
            </w:r>
            <w:r w:rsidR="00793FBA">
              <w:rPr>
                <w:lang w:val="hu-HU"/>
              </w:rPr>
              <w:t xml:space="preserve">   </w:t>
            </w:r>
            <w:proofErr w:type="gramEnd"/>
            <w:r w:rsidR="00793FBA">
              <w:rPr>
                <w:lang w:val="hu-HU"/>
              </w:rPr>
              <w:t xml:space="preserve">             </w:t>
            </w:r>
            <w:r>
              <w:rPr>
                <w:lang w:val="hu-HU"/>
              </w:rPr>
              <w:t xml:space="preserve"> 08:00 – 15:30</w:t>
            </w:r>
          </w:p>
          <w:p w14:paraId="6EF4AC13" w14:textId="44E4D69B" w:rsidR="00831A37" w:rsidRDefault="00831A37" w:rsidP="00831A37">
            <w:pPr>
              <w:jc w:val="both"/>
              <w:rPr>
                <w:lang w:val="hu-HU"/>
              </w:rPr>
            </w:pPr>
            <w:proofErr w:type="gramStart"/>
            <w:r>
              <w:rPr>
                <w:lang w:val="hu-HU"/>
              </w:rPr>
              <w:t xml:space="preserve">kedd: </w:t>
            </w:r>
            <w:r w:rsidR="00793FBA">
              <w:rPr>
                <w:lang w:val="hu-HU"/>
              </w:rPr>
              <w:t xml:space="preserve">  </w:t>
            </w:r>
            <w:proofErr w:type="gramEnd"/>
            <w:r w:rsidR="00793FBA">
              <w:rPr>
                <w:lang w:val="hu-HU"/>
              </w:rPr>
              <w:t xml:space="preserve">               </w:t>
            </w:r>
            <w:r>
              <w:rPr>
                <w:lang w:val="hu-HU"/>
              </w:rPr>
              <w:t>08:00 – 15:30</w:t>
            </w:r>
          </w:p>
          <w:p w14:paraId="4F74B555" w14:textId="134ABAC1" w:rsidR="00831A37" w:rsidRDefault="00831A37" w:rsidP="00831A37">
            <w:pPr>
              <w:jc w:val="both"/>
              <w:rPr>
                <w:lang w:val="hu-HU"/>
              </w:rPr>
            </w:pPr>
            <w:proofErr w:type="gramStart"/>
            <w:r>
              <w:rPr>
                <w:lang w:val="hu-HU"/>
              </w:rPr>
              <w:t xml:space="preserve">szerda: </w:t>
            </w:r>
            <w:r w:rsidR="00793FBA">
              <w:rPr>
                <w:lang w:val="hu-HU"/>
              </w:rPr>
              <w:t xml:space="preserve">  </w:t>
            </w:r>
            <w:proofErr w:type="gramEnd"/>
            <w:r w:rsidR="00793FBA">
              <w:rPr>
                <w:lang w:val="hu-HU"/>
              </w:rPr>
              <w:t xml:space="preserve">            </w:t>
            </w:r>
            <w:r>
              <w:rPr>
                <w:lang w:val="hu-HU"/>
              </w:rPr>
              <w:t>szünnap</w:t>
            </w:r>
          </w:p>
          <w:p w14:paraId="5159AD08" w14:textId="34EB3842" w:rsidR="00831A37" w:rsidRDefault="00831A37" w:rsidP="00831A37">
            <w:pPr>
              <w:jc w:val="both"/>
              <w:rPr>
                <w:lang w:val="hu-HU"/>
              </w:rPr>
            </w:pPr>
            <w:proofErr w:type="gramStart"/>
            <w:r>
              <w:rPr>
                <w:lang w:val="hu-HU"/>
              </w:rPr>
              <w:t xml:space="preserve">csütörtök: </w:t>
            </w:r>
            <w:r w:rsidR="00793FBA">
              <w:rPr>
                <w:lang w:val="hu-HU"/>
              </w:rPr>
              <w:t xml:space="preserve">  </w:t>
            </w:r>
            <w:proofErr w:type="gramEnd"/>
            <w:r w:rsidR="00793FBA">
              <w:rPr>
                <w:lang w:val="hu-HU"/>
              </w:rPr>
              <w:t xml:space="preserve">       </w:t>
            </w:r>
            <w:r>
              <w:rPr>
                <w:lang w:val="hu-HU"/>
              </w:rPr>
              <w:t>07:30 – 19:30</w:t>
            </w:r>
          </w:p>
          <w:p w14:paraId="6AA22CB3" w14:textId="16D18CDD" w:rsidR="00831A37" w:rsidRDefault="00831A37" w:rsidP="00831A37">
            <w:pPr>
              <w:jc w:val="both"/>
              <w:rPr>
                <w:lang w:val="hu-HU"/>
              </w:rPr>
            </w:pPr>
            <w:proofErr w:type="gramStart"/>
            <w:r>
              <w:rPr>
                <w:lang w:val="hu-HU"/>
              </w:rPr>
              <w:t xml:space="preserve">péntek: </w:t>
            </w:r>
            <w:r w:rsidR="00793FBA">
              <w:rPr>
                <w:lang w:val="hu-HU"/>
              </w:rPr>
              <w:t xml:space="preserve">  </w:t>
            </w:r>
            <w:proofErr w:type="gramEnd"/>
            <w:r w:rsidR="00793FBA">
              <w:rPr>
                <w:lang w:val="hu-HU"/>
              </w:rPr>
              <w:t xml:space="preserve">           </w:t>
            </w:r>
            <w:r>
              <w:rPr>
                <w:lang w:val="hu-HU"/>
              </w:rPr>
              <w:t>08:00 – 13:00</w:t>
            </w:r>
          </w:p>
        </w:tc>
      </w:tr>
      <w:tr w:rsidR="00831A37" w14:paraId="2303C5BC" w14:textId="77777777" w:rsidTr="00DC0315">
        <w:tc>
          <w:tcPr>
            <w:tcW w:w="4531" w:type="dxa"/>
            <w:vAlign w:val="center"/>
          </w:tcPr>
          <w:p w14:paraId="7F3380F0" w14:textId="051DCEC5" w:rsidR="00831A37" w:rsidRDefault="00831A37" w:rsidP="00DC0315">
            <w:pPr>
              <w:rPr>
                <w:lang w:val="hu-HU"/>
              </w:rPr>
            </w:pPr>
            <w:r>
              <w:rPr>
                <w:lang w:val="hu-HU"/>
              </w:rPr>
              <w:t>+36 36 368 445</w:t>
            </w:r>
          </w:p>
        </w:tc>
        <w:tc>
          <w:tcPr>
            <w:tcW w:w="4531" w:type="dxa"/>
            <w:vMerge/>
          </w:tcPr>
          <w:p w14:paraId="75E666D4" w14:textId="77777777" w:rsidR="00831A37" w:rsidRDefault="00831A37" w:rsidP="00831A37">
            <w:pPr>
              <w:jc w:val="both"/>
              <w:rPr>
                <w:lang w:val="hu-HU"/>
              </w:rPr>
            </w:pPr>
          </w:p>
        </w:tc>
      </w:tr>
      <w:tr w:rsidR="00831A37" w14:paraId="560A2116" w14:textId="77777777" w:rsidTr="00831A37">
        <w:tc>
          <w:tcPr>
            <w:tcW w:w="4531" w:type="dxa"/>
          </w:tcPr>
          <w:p w14:paraId="62C5745E" w14:textId="292D176C" w:rsidR="00831A37" w:rsidRDefault="00831A37" w:rsidP="00831A3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info@pevik.hu</w:t>
            </w:r>
          </w:p>
        </w:tc>
        <w:tc>
          <w:tcPr>
            <w:tcW w:w="4531" w:type="dxa"/>
          </w:tcPr>
          <w:p w14:paraId="4C0E2765" w14:textId="68117DBF" w:rsidR="00831A37" w:rsidRDefault="00DC0315" w:rsidP="00831A37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0-24 óra</w:t>
            </w:r>
          </w:p>
        </w:tc>
      </w:tr>
    </w:tbl>
    <w:p w14:paraId="78C7F111" w14:textId="5F6AB4F3" w:rsidR="00DC0315" w:rsidRDefault="00831A37" w:rsidP="00DC0315">
      <w:pPr>
        <w:spacing w:before="240"/>
        <w:jc w:val="both"/>
        <w:rPr>
          <w:lang w:val="hu-HU"/>
        </w:rPr>
      </w:pPr>
      <w:r>
        <w:rPr>
          <w:lang w:val="hu-HU"/>
        </w:rPr>
        <w:t>Területi Szolgáltató kizárólag a fenti csatornákon</w:t>
      </w:r>
      <w:r w:rsidR="002D5BCC">
        <w:rPr>
          <w:lang w:val="hu-HU"/>
        </w:rPr>
        <w:t xml:space="preserve"> és időpontokban</w:t>
      </w:r>
      <w:r>
        <w:rPr>
          <w:lang w:val="hu-HU"/>
        </w:rPr>
        <w:t xml:space="preserve"> érkezett bejelentéseket és panaszokat bírálja el.</w:t>
      </w:r>
      <w:r w:rsidR="00DC0315">
        <w:rPr>
          <w:lang w:val="hu-HU"/>
        </w:rPr>
        <w:t xml:space="preserve"> Ügyintézési határidőnk nem panaszos ügyekben 30 nap. A panaszos ügyeket a Panaszkezelési szabályzatban foglaltaknak megfelelően kezeljük, mely elérhető </w:t>
      </w:r>
      <w:r w:rsidR="00DC0315" w:rsidRPr="00DC0315">
        <w:rPr>
          <w:lang w:val="hu-HU"/>
        </w:rPr>
        <w:t>www.pevik.hu</w:t>
      </w:r>
      <w:r w:rsidR="00DC0315">
        <w:rPr>
          <w:lang w:val="hu-HU"/>
        </w:rPr>
        <w:t xml:space="preserve"> weboldal Ügyfélszolgálat menüpontjában, illetve az ügyfélszolgálati irodában.</w:t>
      </w:r>
    </w:p>
    <w:p w14:paraId="01BD639A" w14:textId="398141FE" w:rsidR="00793FBA" w:rsidRDefault="00793FBA" w:rsidP="00DC0315">
      <w:pPr>
        <w:spacing w:before="240"/>
        <w:jc w:val="both"/>
        <w:rPr>
          <w:lang w:val="hu-HU"/>
        </w:rPr>
      </w:pPr>
      <w:r>
        <w:lastRenderedPageBreak/>
        <w:t xml:space="preserve">A </w:t>
      </w:r>
      <w:proofErr w:type="spellStart"/>
      <w:r>
        <w:t>panaszos</w:t>
      </w:r>
      <w:proofErr w:type="spellEnd"/>
      <w:r>
        <w:t xml:space="preserve"> </w:t>
      </w:r>
      <w:proofErr w:type="spellStart"/>
      <w:r>
        <w:t>ügyeket</w:t>
      </w:r>
      <w:proofErr w:type="spellEnd"/>
      <w:r>
        <w:t xml:space="preserve"> az 1997. </w:t>
      </w:r>
      <w:proofErr w:type="spellStart"/>
      <w:r>
        <w:t>évi</w:t>
      </w:r>
      <w:proofErr w:type="spellEnd"/>
      <w:r>
        <w:t xml:space="preserve"> CLV. </w:t>
      </w:r>
      <w:proofErr w:type="spellStart"/>
      <w:r>
        <w:t>törvény</w:t>
      </w:r>
      <w:proofErr w:type="spellEnd"/>
      <w:r>
        <w:t xml:space="preserve"> a </w:t>
      </w:r>
      <w:proofErr w:type="spellStart"/>
      <w:r>
        <w:t>fogyasztóvédelemről</w:t>
      </w:r>
      <w:proofErr w:type="spellEnd"/>
      <w:r>
        <w:t xml:space="preserve"> 17/B. § (5) </w:t>
      </w:r>
      <w:proofErr w:type="spellStart"/>
      <w:r>
        <w:t>pontja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kerül</w:t>
      </w:r>
      <w:proofErr w:type="spellEnd"/>
      <w:r>
        <w:t xml:space="preserve"> </w:t>
      </w:r>
      <w:proofErr w:type="spellStart"/>
      <w:r>
        <w:t>megválaszolásra</w:t>
      </w:r>
      <w:proofErr w:type="spellEnd"/>
      <w:r>
        <w:t>.</w:t>
      </w:r>
    </w:p>
    <w:p w14:paraId="7E3FF13C" w14:textId="36226947" w:rsidR="00174334" w:rsidRDefault="00174334" w:rsidP="00DC0315">
      <w:pPr>
        <w:spacing w:before="240"/>
        <w:jc w:val="both"/>
        <w:rPr>
          <w:lang w:val="hu-HU"/>
        </w:rPr>
      </w:pPr>
      <w:r>
        <w:rPr>
          <w:lang w:val="hu-HU"/>
        </w:rPr>
        <w:t xml:space="preserve">A Területi Szolgáltató által közzéteendő információ, tájékoztatás vagy közérdekű adat személyesen az ügyfélszolgálaton vagy a </w:t>
      </w:r>
      <w:r w:rsidRPr="00174334">
        <w:rPr>
          <w:lang w:val="hu-HU"/>
        </w:rPr>
        <w:t>www.pevik.hu</w:t>
      </w:r>
      <w:r>
        <w:rPr>
          <w:lang w:val="hu-HU"/>
        </w:rPr>
        <w:t xml:space="preserve"> oldalon tekinthető meg.</w:t>
      </w:r>
    </w:p>
    <w:p w14:paraId="7628852C" w14:textId="7A23591F" w:rsidR="002D5BCC" w:rsidRDefault="002D5BCC" w:rsidP="00DC0315">
      <w:pPr>
        <w:spacing w:before="240"/>
        <w:jc w:val="both"/>
        <w:rPr>
          <w:lang w:val="hu-HU"/>
        </w:rPr>
      </w:pPr>
      <w:r>
        <w:rPr>
          <w:lang w:val="hu-HU"/>
        </w:rPr>
        <w:t>A hulladékgazdálkodási közszolgáltatás Területi Szolgáltató területén lévő ingatlanokra vonatkozó igénybevételének, lemondásának, szüneteltetésének, valamint az igénybevétel feltételeiben történő változás bejelentése a Területi Szolgáltató által rendszeresített formanyomtatványokon tehető meg. A formanyomtatványok elérhetők a Területi Szolgáltató honlapján és az ügyfélszolgálaton. A formanyomtatványt e-mailben, postán lehet</w:t>
      </w:r>
      <w:r w:rsidR="00520DB4">
        <w:rPr>
          <w:lang w:val="hu-HU"/>
        </w:rPr>
        <w:t xml:space="preserve"> a Területi Szolgáltató részére</w:t>
      </w:r>
      <w:r>
        <w:rPr>
          <w:lang w:val="hu-HU"/>
        </w:rPr>
        <w:t xml:space="preserve"> elküldeni vagy személyesen leadni.</w:t>
      </w:r>
      <w:r w:rsidR="005A3BDC">
        <w:rPr>
          <w:lang w:val="hu-HU"/>
        </w:rPr>
        <w:t xml:space="preserve"> A bejelentéshez mellékelni kell a formanyomtatványokon feltüntetett további dokumentumokat.</w:t>
      </w:r>
    </w:p>
    <w:p w14:paraId="593B682E" w14:textId="571895D6" w:rsidR="005A3BDC" w:rsidRDefault="005A3BDC" w:rsidP="00DC0315">
      <w:pPr>
        <w:spacing w:before="240"/>
        <w:jc w:val="both"/>
        <w:rPr>
          <w:lang w:val="hu-HU"/>
        </w:rPr>
      </w:pPr>
      <w:r>
        <w:rPr>
          <w:lang w:val="hu-HU"/>
        </w:rPr>
        <w:t>A közszolgáltatás igénybevételének feltételeiben változást nem keletkeztető ügyfélmegkereséseket a Területi Szolgáltató az ügyfélszolgálatán fogadja, feldolgozza és megválaszolja az ügyfélszolgálati ügyintézési határidőn belül.</w:t>
      </w:r>
    </w:p>
    <w:p w14:paraId="6ED30005" w14:textId="6845CD60" w:rsidR="002D5BCC" w:rsidRDefault="002D5BCC" w:rsidP="00DC0315">
      <w:pPr>
        <w:spacing w:before="240"/>
        <w:jc w:val="both"/>
        <w:rPr>
          <w:lang w:val="hu-HU"/>
        </w:rPr>
      </w:pPr>
      <w:r>
        <w:rPr>
          <w:lang w:val="hu-HU"/>
        </w:rPr>
        <w:t xml:space="preserve">A Területi Szolgáltató az ügyfél által </w:t>
      </w:r>
      <w:r w:rsidR="00520DB4">
        <w:rPr>
          <w:lang w:val="hu-HU"/>
        </w:rPr>
        <w:t xml:space="preserve">a </w:t>
      </w:r>
      <w:r>
        <w:rPr>
          <w:lang w:val="hu-HU"/>
        </w:rPr>
        <w:t xml:space="preserve">rendelkezésére bocsátott személyes adatokat az Adatkezelési Tájékoztatóban foglaltak szerint kezeli, mely elérhető </w:t>
      </w:r>
      <w:r w:rsidRPr="00DC0315">
        <w:rPr>
          <w:lang w:val="hu-HU"/>
        </w:rPr>
        <w:t>www.pevik.hu</w:t>
      </w:r>
      <w:r>
        <w:rPr>
          <w:lang w:val="hu-HU"/>
        </w:rPr>
        <w:t xml:space="preserve"> weboldal Ügyfélszolgálat menüpontjában, illetve az ügyfélszolgálati irodában.</w:t>
      </w:r>
    </w:p>
    <w:p w14:paraId="156EE064" w14:textId="75B783B7" w:rsidR="000C29A2" w:rsidRDefault="000C29A2" w:rsidP="000C29A2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19" w:name="_Toc143525299"/>
      <w:r>
        <w:rPr>
          <w:lang w:val="hu-HU"/>
        </w:rPr>
        <w:t>Hulladékgazdálkodási közszolgáltatás igénybevételének szüneteltetése</w:t>
      </w:r>
      <w:bookmarkEnd w:id="19"/>
    </w:p>
    <w:p w14:paraId="0D190F5B" w14:textId="2E01FA16" w:rsidR="000C29A2" w:rsidRDefault="000C29A2" w:rsidP="000C29A2">
      <w:pPr>
        <w:jc w:val="both"/>
        <w:rPr>
          <w:lang w:val="hu-HU"/>
        </w:rPr>
      </w:pPr>
      <w:r>
        <w:rPr>
          <w:lang w:val="hu-HU"/>
        </w:rPr>
        <w:t xml:space="preserve">A hulladékgazdálkodási közszolgáltatás igénybevétele szüneteltethető </w:t>
      </w:r>
      <w:r w:rsidR="004D2BC0">
        <w:rPr>
          <w:lang w:val="hu-HU"/>
        </w:rPr>
        <w:t>a MOHU Zrt. közszolgáltatási ÁSZF-</w:t>
      </w:r>
      <w:proofErr w:type="spellStart"/>
      <w:r w:rsidR="004D2BC0">
        <w:rPr>
          <w:lang w:val="hu-HU"/>
        </w:rPr>
        <w:t>jében</w:t>
      </w:r>
      <w:proofErr w:type="spellEnd"/>
      <w:r w:rsidR="004D2BC0">
        <w:rPr>
          <w:lang w:val="hu-HU"/>
        </w:rPr>
        <w:t xml:space="preserve"> meghatározott feltételekkel. A szüneteltetésre jogosító körülményt az ügyfél a Területi Szolgáltatónak a szüneteltetés lejárta</w:t>
      </w:r>
      <w:r w:rsidR="003D3FCA">
        <w:rPr>
          <w:lang w:val="hu-HU"/>
        </w:rPr>
        <w:t xml:space="preserve"> után legfeljebb 15 napon belül</w:t>
      </w:r>
      <w:r w:rsidR="004D2BC0">
        <w:rPr>
          <w:lang w:val="hu-HU"/>
        </w:rPr>
        <w:t xml:space="preserve"> igazolja a szüneteltetés időszakára vonatkozó közüzemi számlával (áram, víz, gáz), amely alátámasztja, hogy az ingatlan a szüneteltetett időszakban nem volt használatban. Amennyiben az ügyfél az igazolás benyújtását elmulasztja, a Területi Szolgáltató fenntartja a jogot, hogy visszamenőleg a szüneteltetést érvénytelenítse és az adott időszakra vonatkozó közszolgáltatási díj számláját kiállítsa.</w:t>
      </w:r>
    </w:p>
    <w:p w14:paraId="74D7EDDE" w14:textId="6376BF74" w:rsidR="004D2BC0" w:rsidRDefault="004D2BC0" w:rsidP="000C29A2">
      <w:pPr>
        <w:jc w:val="both"/>
        <w:rPr>
          <w:lang w:val="hu-HU"/>
        </w:rPr>
      </w:pPr>
      <w:r>
        <w:rPr>
          <w:lang w:val="hu-HU"/>
        </w:rPr>
        <w:t>A fenti rendelkezések a társasházi közösségi előfizetőre egyaránt vonatkoznak.</w:t>
      </w:r>
    </w:p>
    <w:p w14:paraId="62810824" w14:textId="1E9738C5" w:rsidR="00520DB4" w:rsidRPr="00520DB4" w:rsidRDefault="00520DB4" w:rsidP="000C29A2">
      <w:pPr>
        <w:pStyle w:val="Cmsor2"/>
        <w:numPr>
          <w:ilvl w:val="1"/>
          <w:numId w:val="1"/>
        </w:numPr>
        <w:jc w:val="both"/>
        <w:rPr>
          <w:lang w:val="hu-HU"/>
        </w:rPr>
      </w:pPr>
      <w:bookmarkStart w:id="20" w:name="_Toc143525300"/>
      <w:r>
        <w:rPr>
          <w:lang w:val="hu-HU"/>
        </w:rPr>
        <w:t xml:space="preserve">Hulladékgyűjtő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megrongálódása</w:t>
      </w:r>
      <w:bookmarkEnd w:id="20"/>
    </w:p>
    <w:p w14:paraId="4B7796FF" w14:textId="0648EA81" w:rsidR="00520DB4" w:rsidRDefault="00520DB4" w:rsidP="00520DB4">
      <w:pPr>
        <w:jc w:val="both"/>
        <w:rPr>
          <w:lang w:val="hu-HU"/>
        </w:rPr>
      </w:pPr>
      <w:r>
        <w:rPr>
          <w:lang w:val="hu-HU"/>
        </w:rPr>
        <w:t xml:space="preserve">A hulladékgazdálkodási közszolgáltatás során használt, szilárd falú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szolgáltatás közben történt rongálódása esetén Területi Szolgáltató </w:t>
      </w:r>
      <w:proofErr w:type="spellStart"/>
      <w:r>
        <w:rPr>
          <w:lang w:val="hu-HU"/>
        </w:rPr>
        <w:t>csereedényzetet</w:t>
      </w:r>
      <w:proofErr w:type="spellEnd"/>
      <w:r>
        <w:rPr>
          <w:lang w:val="hu-HU"/>
        </w:rPr>
        <w:t xml:space="preserve"> biztosít az ügyfél részére, ha az alábbi feltételek mindegyike teljesül:</w:t>
      </w:r>
    </w:p>
    <w:p w14:paraId="1283CB0C" w14:textId="57152D6A" w:rsidR="00520DB4" w:rsidRDefault="00520DB4" w:rsidP="00520DB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megrongálódott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a Területi Szolgáltató által előírt szabványnak megfelel</w:t>
      </w:r>
    </w:p>
    <w:p w14:paraId="4FC14CAE" w14:textId="13812BDC" w:rsidR="00520DB4" w:rsidRDefault="00520DB4" w:rsidP="00520DB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ügyfél az </w:t>
      </w:r>
      <w:proofErr w:type="spellStart"/>
      <w:r>
        <w:rPr>
          <w:lang w:val="hu-HU"/>
        </w:rPr>
        <w:t>edényzetet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rendeltetésszerűen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haszálta</w:t>
      </w:r>
      <w:proofErr w:type="spellEnd"/>
      <w:r>
        <w:rPr>
          <w:lang w:val="hu-HU"/>
        </w:rPr>
        <w:t xml:space="preserve"> (pl. nem terhelte túl, nem helyezett bele forró anyagot)</w:t>
      </w:r>
    </w:p>
    <w:p w14:paraId="1D432873" w14:textId="22927A06" w:rsidR="00520DB4" w:rsidRDefault="00520DB4" w:rsidP="00520DB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az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a bejelentés dátumától számítva 5 évnél nem régebbi, és ezt az ügyfél bizonylattal alá tudja támasztani (amennyiben bizonylat bemutatására nincs lehetőség, a Területi Szolgáltató megállapítja az </w:t>
      </w:r>
      <w:proofErr w:type="spellStart"/>
      <w:r>
        <w:rPr>
          <w:lang w:val="hu-HU"/>
        </w:rPr>
        <w:t>edényzet</w:t>
      </w:r>
      <w:proofErr w:type="spellEnd"/>
      <w:r>
        <w:rPr>
          <w:lang w:val="hu-HU"/>
        </w:rPr>
        <w:t xml:space="preserve"> korát az azon feltüntetett információk alapján)</w:t>
      </w:r>
    </w:p>
    <w:p w14:paraId="47278C6E" w14:textId="7532066B" w:rsidR="00520DB4" w:rsidRDefault="00710EE1" w:rsidP="00520DB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ügyfél eleget tesz hulladékgazdálkodási közszolgáltatási igénybevételi kötelezettségének</w:t>
      </w:r>
    </w:p>
    <w:p w14:paraId="2F47F56E" w14:textId="21DD7B00" w:rsidR="00710EE1" w:rsidRDefault="00710EE1" w:rsidP="00520DB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az ügyfélnek nincs hulladékgazdálkodási közszolgáltatási díjtartozása</w:t>
      </w:r>
    </w:p>
    <w:p w14:paraId="365AF66F" w14:textId="4C188C03" w:rsidR="00710EE1" w:rsidRDefault="00710EE1" w:rsidP="00520DB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Területi Szolgáltatónak nem áll fenn rendezetlen követelése az ügyféllel szemben</w:t>
      </w:r>
    </w:p>
    <w:p w14:paraId="3BC69A6F" w14:textId="65D622E1" w:rsidR="00710EE1" w:rsidRDefault="00710EE1" w:rsidP="00520DB4">
      <w:pPr>
        <w:pStyle w:val="Listaszerbekezds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az ügyfél kitölti és visszaküldi a Területi Szolgáltató által a megrongálódott </w:t>
      </w:r>
      <w:proofErr w:type="spellStart"/>
      <w:r>
        <w:rPr>
          <w:lang w:val="hu-HU"/>
        </w:rPr>
        <w:t>edényzettel</w:t>
      </w:r>
      <w:proofErr w:type="spellEnd"/>
      <w:r>
        <w:rPr>
          <w:lang w:val="hu-HU"/>
        </w:rPr>
        <w:t xml:space="preserve"> kapcsolatos ügyintézéshez rendszeresített formanyomtatványt, melyet Területi Szolgáltató a rongálódás bejelentése után juttat el az ügyfélhez</w:t>
      </w:r>
    </w:p>
    <w:p w14:paraId="5426A0E1" w14:textId="3E29B580" w:rsidR="00710EE1" w:rsidRDefault="00710EE1" w:rsidP="00710EE1">
      <w:pPr>
        <w:jc w:val="both"/>
        <w:rPr>
          <w:lang w:val="hu-HU"/>
        </w:rPr>
      </w:pPr>
      <w:r>
        <w:rPr>
          <w:lang w:val="hu-HU"/>
        </w:rPr>
        <w:lastRenderedPageBreak/>
        <w:t xml:space="preserve">Amennyiben a Területi Szolgáltató a bejelentés elbírálása során </w:t>
      </w:r>
      <w:proofErr w:type="spellStart"/>
      <w:r>
        <w:rPr>
          <w:lang w:val="hu-HU"/>
        </w:rPr>
        <w:t>csereedényzetet</w:t>
      </w:r>
      <w:proofErr w:type="spellEnd"/>
      <w:r>
        <w:rPr>
          <w:lang w:val="hu-HU"/>
        </w:rPr>
        <w:t xml:space="preserve"> ítél meg az ügyfélnek, úgy az ügyfél azt személyesen veheti át a Területi Szolgáltató ügyfélszolgálatán </w:t>
      </w:r>
      <w:r w:rsidR="00B539EB">
        <w:rPr>
          <w:lang w:val="hu-HU"/>
        </w:rPr>
        <w:t>a formanyomtatványon megjelölt</w:t>
      </w:r>
      <w:r>
        <w:rPr>
          <w:lang w:val="hu-HU"/>
        </w:rPr>
        <w:t xml:space="preserve"> napokon az ügyfélszolgálat nyitvatartási idejében. Kapacitásától függően a Területi Szolgáltató ügyfél kérésére más napot is felajánlhat a </w:t>
      </w:r>
      <w:proofErr w:type="spellStart"/>
      <w:r>
        <w:rPr>
          <w:lang w:val="hu-HU"/>
        </w:rPr>
        <w:t>csereedényzet</w:t>
      </w:r>
      <w:proofErr w:type="spellEnd"/>
      <w:r>
        <w:rPr>
          <w:lang w:val="hu-HU"/>
        </w:rPr>
        <w:t xml:space="preserve"> átadására. A Területi Szolgáltató részére ügyfél a megrongálódott </w:t>
      </w:r>
      <w:proofErr w:type="spellStart"/>
      <w:r>
        <w:rPr>
          <w:lang w:val="hu-HU"/>
        </w:rPr>
        <w:t>edényzetet</w:t>
      </w:r>
      <w:proofErr w:type="spellEnd"/>
      <w:r>
        <w:rPr>
          <w:lang w:val="hu-HU"/>
        </w:rPr>
        <w:t xml:space="preserve"> átadja a </w:t>
      </w:r>
      <w:proofErr w:type="spellStart"/>
      <w:r>
        <w:rPr>
          <w:lang w:val="hu-HU"/>
        </w:rPr>
        <w:t>csereedényzet</w:t>
      </w:r>
      <w:proofErr w:type="spellEnd"/>
      <w:r>
        <w:rPr>
          <w:lang w:val="hu-HU"/>
        </w:rPr>
        <w:t xml:space="preserve"> átvételekor.</w:t>
      </w:r>
      <w:r w:rsidR="00B539EB">
        <w:rPr>
          <w:lang w:val="hu-HU"/>
        </w:rPr>
        <w:t xml:space="preserve"> Amennyiben a Területi Szolgáltató által biztosított </w:t>
      </w:r>
      <w:proofErr w:type="spellStart"/>
      <w:r w:rsidR="00B539EB">
        <w:rPr>
          <w:lang w:val="hu-HU"/>
        </w:rPr>
        <w:t>csereedényzet</w:t>
      </w:r>
      <w:proofErr w:type="spellEnd"/>
      <w:r w:rsidR="00B539EB">
        <w:rPr>
          <w:lang w:val="hu-HU"/>
        </w:rPr>
        <w:t xml:space="preserve"> nem felel meg valamelyik fenti feltételnek, úgy a </w:t>
      </w:r>
      <w:proofErr w:type="spellStart"/>
      <w:r w:rsidR="00B539EB">
        <w:rPr>
          <w:lang w:val="hu-HU"/>
        </w:rPr>
        <w:t>csereedényzet</w:t>
      </w:r>
      <w:proofErr w:type="spellEnd"/>
      <w:r w:rsidR="00B539EB">
        <w:rPr>
          <w:lang w:val="hu-HU"/>
        </w:rPr>
        <w:t xml:space="preserve"> esetleges későbbi megrongálódásakor a Területi Szolgáltató </w:t>
      </w:r>
      <w:r w:rsidR="00B67405">
        <w:rPr>
          <w:lang w:val="hu-HU"/>
        </w:rPr>
        <w:t xml:space="preserve">egy újabb </w:t>
      </w:r>
      <w:proofErr w:type="spellStart"/>
      <w:r w:rsidR="00B67405">
        <w:rPr>
          <w:lang w:val="hu-HU"/>
        </w:rPr>
        <w:t>csereedényzet</w:t>
      </w:r>
      <w:proofErr w:type="spellEnd"/>
      <w:r w:rsidR="00B67405">
        <w:rPr>
          <w:lang w:val="hu-HU"/>
        </w:rPr>
        <w:t xml:space="preserve"> igénylésére vonatkozó kérelem elbírálásakor azt a feltételt nem veszi figyelembe.</w:t>
      </w:r>
    </w:p>
    <w:p w14:paraId="2D6DB5E0" w14:textId="307248AC" w:rsidR="000C29A2" w:rsidRDefault="000C29A2" w:rsidP="00710EE1">
      <w:pPr>
        <w:jc w:val="both"/>
        <w:rPr>
          <w:lang w:val="hu-HU"/>
        </w:rPr>
      </w:pPr>
      <w:r>
        <w:rPr>
          <w:lang w:val="hu-HU"/>
        </w:rPr>
        <w:t xml:space="preserve">Amennyiben az ügyfél a Területi Szolgáltatótól bérli az </w:t>
      </w:r>
      <w:proofErr w:type="spellStart"/>
      <w:r>
        <w:rPr>
          <w:lang w:val="hu-HU"/>
        </w:rPr>
        <w:t>edényzetet</w:t>
      </w:r>
      <w:proofErr w:type="spellEnd"/>
      <w:r>
        <w:rPr>
          <w:lang w:val="hu-HU"/>
        </w:rPr>
        <w:t>, úgy a bérleti szerződésben foglaltak az irányadók a rongálódás vonatkozásában.</w:t>
      </w:r>
    </w:p>
    <w:p w14:paraId="72C68CA2" w14:textId="73CF9FB9" w:rsidR="005A3BDC" w:rsidRPr="005A3BDC" w:rsidRDefault="000C29A2" w:rsidP="000C29A2">
      <w:pPr>
        <w:pStyle w:val="Cmsor1"/>
        <w:numPr>
          <w:ilvl w:val="0"/>
          <w:numId w:val="1"/>
        </w:numPr>
        <w:jc w:val="both"/>
        <w:rPr>
          <w:lang w:val="hu-HU"/>
        </w:rPr>
      </w:pPr>
      <w:bookmarkStart w:id="21" w:name="_Toc143525301"/>
      <w:r>
        <w:rPr>
          <w:lang w:val="hu-HU"/>
        </w:rPr>
        <w:t>Vegyes rendelkezések</w:t>
      </w:r>
      <w:bookmarkEnd w:id="21"/>
    </w:p>
    <w:p w14:paraId="1E927FBD" w14:textId="7CB06720" w:rsidR="005A3BDC" w:rsidRDefault="005A3BDC" w:rsidP="000C29A2">
      <w:pPr>
        <w:jc w:val="both"/>
        <w:rPr>
          <w:lang w:val="hu-HU"/>
        </w:rPr>
      </w:pPr>
      <w:r>
        <w:rPr>
          <w:lang w:val="hu-HU"/>
        </w:rPr>
        <w:t>A jelen Területi ÁSZF-ben és a MOHU Zrt. közszolgáltatási ÁSZF-</w:t>
      </w:r>
      <w:proofErr w:type="spellStart"/>
      <w:r>
        <w:rPr>
          <w:lang w:val="hu-HU"/>
        </w:rPr>
        <w:t>jében</w:t>
      </w:r>
      <w:proofErr w:type="spellEnd"/>
      <w:r>
        <w:rPr>
          <w:lang w:val="hu-HU"/>
        </w:rPr>
        <w:t xml:space="preserve"> foglaltak ellentmondása esetén a MOHU Zrt. közszolgáltatási ÁSZF-</w:t>
      </w:r>
      <w:proofErr w:type="spellStart"/>
      <w:r>
        <w:rPr>
          <w:lang w:val="hu-HU"/>
        </w:rPr>
        <w:t>jében</w:t>
      </w:r>
      <w:proofErr w:type="spellEnd"/>
      <w:r>
        <w:rPr>
          <w:lang w:val="hu-HU"/>
        </w:rPr>
        <w:t xml:space="preserve"> foglaltak az irányadók.</w:t>
      </w:r>
    </w:p>
    <w:p w14:paraId="18440FF0" w14:textId="177F66F3" w:rsidR="00AB5E28" w:rsidRPr="00A922AE" w:rsidRDefault="005A3BDC" w:rsidP="008C472E">
      <w:pPr>
        <w:jc w:val="center"/>
        <w:rPr>
          <w:lang w:val="hu-HU"/>
        </w:rPr>
      </w:pPr>
      <w:r>
        <w:rPr>
          <w:noProof/>
          <w:lang w:val="hu-HU"/>
        </w:rPr>
        <w:drawing>
          <wp:anchor distT="0" distB="0" distL="114300" distR="114300" simplePos="0" relativeHeight="251658240" behindDoc="0" locked="0" layoutInCell="1" allowOverlap="1" wp14:anchorId="2775E502" wp14:editId="194B1845">
            <wp:simplePos x="3038475" y="3362325"/>
            <wp:positionH relativeFrom="margin">
              <wp:align>center</wp:align>
            </wp:positionH>
            <wp:positionV relativeFrom="margin">
              <wp:align>bottom</wp:align>
            </wp:positionV>
            <wp:extent cx="1485900" cy="447675"/>
            <wp:effectExtent l="0" t="0" r="0" b="9525"/>
            <wp:wrapSquare wrapText="bothSides"/>
            <wp:docPr id="179953777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5E28" w:rsidRPr="00A922AE" w:rsidSect="009D77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A582" w14:textId="77777777" w:rsidR="008C472E" w:rsidRDefault="008C472E" w:rsidP="008C472E">
      <w:pPr>
        <w:spacing w:after="0" w:line="240" w:lineRule="auto"/>
      </w:pPr>
      <w:r>
        <w:separator/>
      </w:r>
    </w:p>
  </w:endnote>
  <w:endnote w:type="continuationSeparator" w:id="0">
    <w:p w14:paraId="722CB63F" w14:textId="77777777" w:rsidR="008C472E" w:rsidRDefault="008C472E" w:rsidP="008C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3AD5" w14:textId="63DE227A" w:rsidR="008C472E" w:rsidRDefault="008C472E">
    <w:pPr>
      <w:pStyle w:val="llb"/>
      <w:jc w:val="center"/>
    </w:pPr>
  </w:p>
  <w:p w14:paraId="4CB6FA0E" w14:textId="77777777" w:rsidR="008C472E" w:rsidRDefault="008C47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427454"/>
      <w:docPartObj>
        <w:docPartGallery w:val="Page Numbers (Bottom of Page)"/>
        <w:docPartUnique/>
      </w:docPartObj>
    </w:sdtPr>
    <w:sdtEndPr/>
    <w:sdtContent>
      <w:p w14:paraId="65BAE505" w14:textId="77777777" w:rsidR="008C472E" w:rsidRDefault="008C472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DF0F01E" w14:textId="77777777" w:rsidR="008C472E" w:rsidRDefault="008C47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4A2D" w14:textId="77777777" w:rsidR="008C472E" w:rsidRDefault="008C472E" w:rsidP="008C472E">
      <w:pPr>
        <w:spacing w:after="0" w:line="240" w:lineRule="auto"/>
      </w:pPr>
      <w:r>
        <w:separator/>
      </w:r>
    </w:p>
  </w:footnote>
  <w:footnote w:type="continuationSeparator" w:id="0">
    <w:p w14:paraId="2BF3F9B6" w14:textId="77777777" w:rsidR="008C472E" w:rsidRDefault="008C472E" w:rsidP="008C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60D4"/>
    <w:multiLevelType w:val="multilevel"/>
    <w:tmpl w:val="D93A31E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221D21"/>
    <w:multiLevelType w:val="multilevel"/>
    <w:tmpl w:val="A082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21D6582"/>
    <w:multiLevelType w:val="multilevel"/>
    <w:tmpl w:val="A082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C47617D"/>
    <w:multiLevelType w:val="hybridMultilevel"/>
    <w:tmpl w:val="5BC4CCF0"/>
    <w:lvl w:ilvl="0" w:tplc="8E76EC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E2D5D"/>
    <w:multiLevelType w:val="multilevel"/>
    <w:tmpl w:val="A082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C07B01"/>
    <w:multiLevelType w:val="multilevel"/>
    <w:tmpl w:val="A082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403227D"/>
    <w:multiLevelType w:val="multilevel"/>
    <w:tmpl w:val="A082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DD8349E"/>
    <w:multiLevelType w:val="multilevel"/>
    <w:tmpl w:val="A082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F301908"/>
    <w:multiLevelType w:val="multilevel"/>
    <w:tmpl w:val="A0820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06704839">
    <w:abstractNumId w:val="2"/>
  </w:num>
  <w:num w:numId="2" w16cid:durableId="1963880410">
    <w:abstractNumId w:val="3"/>
  </w:num>
  <w:num w:numId="3" w16cid:durableId="708339065">
    <w:abstractNumId w:val="0"/>
  </w:num>
  <w:num w:numId="4" w16cid:durableId="1955407063">
    <w:abstractNumId w:val="4"/>
  </w:num>
  <w:num w:numId="5" w16cid:durableId="1138303224">
    <w:abstractNumId w:val="7"/>
  </w:num>
  <w:num w:numId="6" w16cid:durableId="1186753437">
    <w:abstractNumId w:val="6"/>
  </w:num>
  <w:num w:numId="7" w16cid:durableId="445928590">
    <w:abstractNumId w:val="5"/>
  </w:num>
  <w:num w:numId="8" w16cid:durableId="1086610148">
    <w:abstractNumId w:val="1"/>
  </w:num>
  <w:num w:numId="9" w16cid:durableId="2060980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DD"/>
    <w:rsid w:val="000623BC"/>
    <w:rsid w:val="00094798"/>
    <w:rsid w:val="000C29A2"/>
    <w:rsid w:val="001606E9"/>
    <w:rsid w:val="00165469"/>
    <w:rsid w:val="00174334"/>
    <w:rsid w:val="001E12F5"/>
    <w:rsid w:val="00220881"/>
    <w:rsid w:val="00230AB6"/>
    <w:rsid w:val="002449C9"/>
    <w:rsid w:val="00256E6C"/>
    <w:rsid w:val="0026048C"/>
    <w:rsid w:val="002D5BCC"/>
    <w:rsid w:val="003028BD"/>
    <w:rsid w:val="003240D1"/>
    <w:rsid w:val="00336A8E"/>
    <w:rsid w:val="00346B2B"/>
    <w:rsid w:val="00384598"/>
    <w:rsid w:val="0038711C"/>
    <w:rsid w:val="003D3CDC"/>
    <w:rsid w:val="003D3FCA"/>
    <w:rsid w:val="003E6032"/>
    <w:rsid w:val="00452795"/>
    <w:rsid w:val="004B489A"/>
    <w:rsid w:val="004D2BC0"/>
    <w:rsid w:val="00520DB4"/>
    <w:rsid w:val="005A1901"/>
    <w:rsid w:val="005A3BDC"/>
    <w:rsid w:val="006138E9"/>
    <w:rsid w:val="006273A1"/>
    <w:rsid w:val="00653525"/>
    <w:rsid w:val="0067408F"/>
    <w:rsid w:val="006826BE"/>
    <w:rsid w:val="006E477B"/>
    <w:rsid w:val="00710EE1"/>
    <w:rsid w:val="00793FBA"/>
    <w:rsid w:val="007965E8"/>
    <w:rsid w:val="00821D12"/>
    <w:rsid w:val="00831A37"/>
    <w:rsid w:val="008345EC"/>
    <w:rsid w:val="00856336"/>
    <w:rsid w:val="008C472E"/>
    <w:rsid w:val="00943A53"/>
    <w:rsid w:val="00985526"/>
    <w:rsid w:val="009A73BF"/>
    <w:rsid w:val="009B0CCA"/>
    <w:rsid w:val="009D7711"/>
    <w:rsid w:val="009F10E2"/>
    <w:rsid w:val="00A70222"/>
    <w:rsid w:val="00A922AE"/>
    <w:rsid w:val="00A93D79"/>
    <w:rsid w:val="00AB5E28"/>
    <w:rsid w:val="00AB7159"/>
    <w:rsid w:val="00AE0B03"/>
    <w:rsid w:val="00B539EB"/>
    <w:rsid w:val="00B60261"/>
    <w:rsid w:val="00B67405"/>
    <w:rsid w:val="00B926D8"/>
    <w:rsid w:val="00BB2261"/>
    <w:rsid w:val="00BD5113"/>
    <w:rsid w:val="00C72783"/>
    <w:rsid w:val="00CB33DD"/>
    <w:rsid w:val="00D32FD7"/>
    <w:rsid w:val="00D61F00"/>
    <w:rsid w:val="00D858E9"/>
    <w:rsid w:val="00DA5FF1"/>
    <w:rsid w:val="00DC0315"/>
    <w:rsid w:val="00E71956"/>
    <w:rsid w:val="00E819AF"/>
    <w:rsid w:val="00EE0519"/>
    <w:rsid w:val="00EE2B30"/>
    <w:rsid w:val="00F24DC4"/>
    <w:rsid w:val="00FB09C5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B525"/>
  <w15:chartTrackingRefBased/>
  <w15:docId w15:val="{F572217D-234C-42E0-9C1A-56BF75E5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230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92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47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30A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30AB6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230A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A922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aszerbekezds">
    <w:name w:val="List Paragraph"/>
    <w:basedOn w:val="Norml"/>
    <w:uiPriority w:val="34"/>
    <w:qFormat/>
    <w:rsid w:val="00A922A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6E477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table" w:styleId="Rcsostblzat">
    <w:name w:val="Table Grid"/>
    <w:basedOn w:val="Normltblzat"/>
    <w:uiPriority w:val="39"/>
    <w:rsid w:val="0083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8C472E"/>
    <w:pPr>
      <w:outlineLvl w:val="9"/>
    </w:pPr>
    <w:rPr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C472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C472E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C472E"/>
    <w:pPr>
      <w:spacing w:after="100"/>
      <w:ind w:left="440"/>
    </w:pPr>
  </w:style>
  <w:style w:type="paragraph" w:styleId="lfej">
    <w:name w:val="header"/>
    <w:basedOn w:val="Norml"/>
    <w:link w:val="lfejChar"/>
    <w:uiPriority w:val="99"/>
    <w:unhideWhenUsed/>
    <w:rsid w:val="008C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472E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8C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472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F385-5BD1-4D66-9F93-263FD5FD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11</Pages>
  <Words>3698</Words>
  <Characters>25521</Characters>
  <Application>Microsoft Office Word</Application>
  <DocSecurity>0</DocSecurity>
  <Lines>212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Renátó Eged</dc:creator>
  <cp:keywords/>
  <dc:description/>
  <cp:lastModifiedBy>Ivády Ágnes</cp:lastModifiedBy>
  <cp:revision>30</cp:revision>
  <dcterms:created xsi:type="dcterms:W3CDTF">2023-07-20T07:42:00Z</dcterms:created>
  <dcterms:modified xsi:type="dcterms:W3CDTF">2024-01-03T12:25:00Z</dcterms:modified>
</cp:coreProperties>
</file>